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E6" w:rsidRPr="00F4779C" w:rsidRDefault="004172E6" w:rsidP="004942B7">
      <w:pPr>
        <w:autoSpaceDE w:val="0"/>
        <w:autoSpaceDN w:val="0"/>
        <w:adjustRightInd w:val="0"/>
        <w:spacing w:line="240" w:lineRule="auto"/>
        <w:ind w:firstLine="3"/>
        <w:jc w:val="both"/>
        <w:rPr>
          <w:rFonts w:ascii="Verdana" w:hAnsi="Verdana" w:cs="Arial"/>
          <w:color w:val="4C4E53"/>
          <w:sz w:val="16"/>
          <w:szCs w:val="16"/>
        </w:rPr>
      </w:pPr>
    </w:p>
    <w:p w:rsidR="00A2072F" w:rsidRPr="00F4779C" w:rsidRDefault="00A2072F" w:rsidP="004942B7">
      <w:pPr>
        <w:shd w:val="clear" w:color="auto" w:fill="D51366"/>
        <w:spacing w:line="240" w:lineRule="auto"/>
        <w:ind w:left="57" w:right="57"/>
        <w:jc w:val="both"/>
        <w:rPr>
          <w:rFonts w:ascii="Verdana" w:hAnsi="Verdana"/>
          <w:b/>
          <w:color w:val="4C4E53"/>
          <w:sz w:val="16"/>
          <w:szCs w:val="16"/>
        </w:rPr>
      </w:pPr>
      <w:bookmarkStart w:id="0" w:name="_GoBack"/>
      <w:bookmarkEnd w:id="0"/>
    </w:p>
    <w:p w:rsidR="00A2072F" w:rsidRPr="00F4779C" w:rsidRDefault="00A2072F" w:rsidP="004942B7">
      <w:pPr>
        <w:shd w:val="clear" w:color="auto" w:fill="D51366"/>
        <w:spacing w:line="240" w:lineRule="auto"/>
        <w:ind w:left="57" w:right="57"/>
        <w:rPr>
          <w:rFonts w:ascii="Verdana" w:hAnsi="Verdana"/>
          <w:b/>
          <w:color w:val="FFFFFF" w:themeColor="background1"/>
          <w:sz w:val="16"/>
          <w:szCs w:val="16"/>
        </w:rPr>
      </w:pPr>
      <w:r w:rsidRPr="00F4779C">
        <w:rPr>
          <w:rFonts w:ascii="Verdana" w:hAnsi="Verdana"/>
          <w:b/>
          <w:color w:val="FFFFFF" w:themeColor="background1"/>
          <w:sz w:val="16"/>
          <w:szCs w:val="16"/>
        </w:rPr>
        <w:t>Assemblée générale mixte du 25 juin 2014</w:t>
      </w:r>
    </w:p>
    <w:p w:rsidR="00A2072F" w:rsidRPr="00F4779C" w:rsidRDefault="00A2072F" w:rsidP="004942B7">
      <w:pPr>
        <w:shd w:val="clear" w:color="auto" w:fill="D51366"/>
        <w:spacing w:line="240" w:lineRule="auto"/>
        <w:ind w:left="57" w:right="57"/>
        <w:rPr>
          <w:rFonts w:ascii="Verdana" w:hAnsi="Verdana"/>
          <w:b/>
          <w:color w:val="FFFFFF" w:themeColor="background1"/>
          <w:sz w:val="16"/>
          <w:szCs w:val="16"/>
        </w:rPr>
      </w:pPr>
    </w:p>
    <w:p w:rsidR="005F6674" w:rsidRPr="00F4779C" w:rsidRDefault="00850A44" w:rsidP="004942B7">
      <w:pPr>
        <w:shd w:val="clear" w:color="auto" w:fill="D51366"/>
        <w:spacing w:line="240" w:lineRule="auto"/>
        <w:ind w:left="57" w:right="57"/>
        <w:rPr>
          <w:rFonts w:ascii="Verdana" w:hAnsi="Verdana"/>
          <w:b/>
          <w:color w:val="FFFFFF" w:themeColor="background1"/>
          <w:sz w:val="16"/>
          <w:szCs w:val="16"/>
        </w:rPr>
      </w:pPr>
      <w:r w:rsidRPr="00F4779C">
        <w:rPr>
          <w:rFonts w:ascii="Verdana" w:hAnsi="Verdana"/>
          <w:b/>
          <w:color w:val="FFFFFF" w:themeColor="background1"/>
          <w:sz w:val="16"/>
          <w:szCs w:val="16"/>
        </w:rPr>
        <w:t>Exposé sommaire sur la situation de la Société</w:t>
      </w:r>
    </w:p>
    <w:p w:rsidR="00A2072F" w:rsidRPr="00F4779C" w:rsidRDefault="00A2072F" w:rsidP="004942B7">
      <w:pPr>
        <w:shd w:val="clear" w:color="auto" w:fill="D51366"/>
        <w:spacing w:line="240" w:lineRule="auto"/>
        <w:ind w:left="57" w:right="57"/>
        <w:jc w:val="both"/>
        <w:rPr>
          <w:rFonts w:ascii="Verdana" w:hAnsi="Verdana"/>
          <w:b/>
          <w:color w:val="FFFFFF" w:themeColor="background1"/>
          <w:sz w:val="16"/>
          <w:szCs w:val="16"/>
        </w:rPr>
      </w:pPr>
    </w:p>
    <w:p w:rsidR="00A2072F" w:rsidRPr="00F4779C" w:rsidRDefault="00A2072F" w:rsidP="004942B7">
      <w:pPr>
        <w:spacing w:line="240" w:lineRule="auto"/>
        <w:ind w:left="57" w:right="57"/>
        <w:jc w:val="both"/>
        <w:rPr>
          <w:rFonts w:ascii="Verdana" w:hAnsi="Verdana"/>
          <w:color w:val="4C4E53"/>
          <w:sz w:val="16"/>
          <w:szCs w:val="16"/>
        </w:rPr>
      </w:pPr>
    </w:p>
    <w:p w:rsidR="00A2072F" w:rsidRPr="00F4779C" w:rsidRDefault="00A2072F" w:rsidP="004942B7">
      <w:pPr>
        <w:spacing w:line="240" w:lineRule="auto"/>
        <w:jc w:val="both"/>
        <w:rPr>
          <w:rFonts w:ascii="Verdana" w:hAnsi="Verdana"/>
          <w:color w:val="4C4E53"/>
          <w:sz w:val="16"/>
          <w:szCs w:val="16"/>
        </w:rPr>
      </w:pPr>
    </w:p>
    <w:p w:rsidR="00BD14A5" w:rsidRPr="00F4779C" w:rsidRDefault="00BD14A5" w:rsidP="004942B7">
      <w:pPr>
        <w:pStyle w:val="IECtexte2courant"/>
        <w:spacing w:after="0" w:line="240" w:lineRule="auto"/>
        <w:rPr>
          <w:rFonts w:ascii="Verdana" w:hAnsi="Verdana"/>
          <w:color w:val="4C4E53"/>
          <w:lang w:val="fr-FR"/>
        </w:rPr>
      </w:pPr>
      <w:r w:rsidRPr="00F4779C">
        <w:rPr>
          <w:rFonts w:ascii="Verdana" w:hAnsi="Verdana"/>
          <w:color w:val="4C4E53"/>
          <w:lang w:val="fr-FR"/>
        </w:rPr>
        <w:t xml:space="preserve">Le présent document contient des informations financières issues des comptes consolidés ou sociaux de la Société et de ses filiales consolidées ainsi que des agrégats non présentés dans ces comptes, pour lesquels une définition et des explications figurent ci-dessous : </w:t>
      </w:r>
    </w:p>
    <w:p w:rsidR="00BD14A5" w:rsidRPr="00F4779C" w:rsidRDefault="00BD14A5" w:rsidP="004942B7">
      <w:pPr>
        <w:pStyle w:val="IECtexte2courant"/>
        <w:spacing w:after="0" w:line="240" w:lineRule="auto"/>
        <w:rPr>
          <w:rFonts w:ascii="Verdana" w:hAnsi="Verdana"/>
          <w:color w:val="4C4E53"/>
          <w:lang w:val="fr-FR"/>
        </w:rPr>
      </w:pPr>
    </w:p>
    <w:p w:rsidR="00BD14A5" w:rsidRPr="00F4779C" w:rsidRDefault="00BD14A5" w:rsidP="004942B7">
      <w:pPr>
        <w:pStyle w:val="IECtexte2courant"/>
        <w:spacing w:after="0" w:line="240" w:lineRule="auto"/>
        <w:rPr>
          <w:rFonts w:ascii="Verdana" w:hAnsi="Verdana"/>
          <w:color w:val="4C4E53"/>
          <w:lang w:val="fr-FR"/>
        </w:rPr>
      </w:pPr>
      <w:r w:rsidRPr="00F4779C">
        <w:rPr>
          <w:rFonts w:ascii="Verdana" w:hAnsi="Verdana"/>
          <w:b/>
          <w:color w:val="4C4E53"/>
          <w:lang w:val="fr-FR"/>
        </w:rPr>
        <w:t>Ebitda</w:t>
      </w:r>
      <w:r w:rsidRPr="00F4779C">
        <w:rPr>
          <w:rFonts w:ascii="Verdana" w:hAnsi="Verdana"/>
          <w:color w:val="4C4E53"/>
          <w:lang w:val="fr-FR"/>
        </w:rPr>
        <w:t xml:space="preserve"> ou Earnings before interest, taxes, depreciation and amortization correspond à l'excédent brut d'exploitation (EBE) dans les normes comptables françaises et est égal au résultat d'exploitation courant augmenté des dotations aux amortissements comptabilisées dans le résultat d'exploitation courant. </w:t>
      </w:r>
    </w:p>
    <w:p w:rsidR="00BD14A5" w:rsidRPr="00F4779C" w:rsidRDefault="00BD14A5" w:rsidP="004942B7">
      <w:pPr>
        <w:pStyle w:val="IECtexte2courant"/>
        <w:spacing w:after="0" w:line="240" w:lineRule="auto"/>
        <w:rPr>
          <w:rFonts w:ascii="Verdana" w:hAnsi="Verdana"/>
          <w:color w:val="4C4E53"/>
          <w:lang w:val="fr-FR"/>
        </w:rPr>
      </w:pPr>
    </w:p>
    <w:p w:rsidR="00A2072F" w:rsidRPr="00F4779C" w:rsidRDefault="00BD14A5" w:rsidP="004942B7">
      <w:pPr>
        <w:spacing w:line="240" w:lineRule="auto"/>
        <w:jc w:val="both"/>
        <w:rPr>
          <w:rFonts w:ascii="Verdana" w:hAnsi="Verdana"/>
          <w:color w:val="4C4E53"/>
          <w:sz w:val="16"/>
          <w:szCs w:val="16"/>
        </w:rPr>
      </w:pPr>
      <w:r w:rsidRPr="00F4779C">
        <w:rPr>
          <w:rFonts w:ascii="Verdana" w:eastAsia="Calibri" w:hAnsi="Verdana" w:cs="Times New Roman"/>
          <w:b/>
          <w:color w:val="4C4E53"/>
          <w:sz w:val="16"/>
          <w:szCs w:val="16"/>
        </w:rPr>
        <w:t>Ebit</w:t>
      </w:r>
      <w:r w:rsidRPr="00F4779C">
        <w:rPr>
          <w:rFonts w:ascii="Verdana" w:eastAsia="Calibri" w:hAnsi="Verdana" w:cs="Times New Roman"/>
          <w:color w:val="4C4E53"/>
          <w:sz w:val="16"/>
          <w:szCs w:val="16"/>
        </w:rPr>
        <w:t xml:space="preserve"> ou Earnings Before Interest and Taxes correspond au résultat d'exploitation dans les normes françaises (résultat d'exploitation courant dans les normes IFRS). Il se calcul en déduisant du chiffre d'affaires net les charges d'exploitation</w:t>
      </w:r>
      <w:r w:rsidRPr="00F4779C">
        <w:rPr>
          <w:rFonts w:ascii="Verdana" w:hAnsi="Verdana"/>
          <w:color w:val="4C4E53"/>
          <w:sz w:val="16"/>
          <w:szCs w:val="16"/>
        </w:rPr>
        <w:t>.</w:t>
      </w:r>
    </w:p>
    <w:p w:rsidR="00BD14A5" w:rsidRPr="00F4779C" w:rsidRDefault="00BD14A5" w:rsidP="004942B7">
      <w:pPr>
        <w:spacing w:line="240" w:lineRule="auto"/>
        <w:jc w:val="both"/>
        <w:rPr>
          <w:rFonts w:ascii="Verdana" w:hAnsi="Verdana"/>
          <w:color w:val="4C4E53"/>
          <w:sz w:val="16"/>
          <w:szCs w:val="16"/>
        </w:rPr>
      </w:pPr>
    </w:p>
    <w:p w:rsidR="00F64ED0" w:rsidRPr="00F4779C" w:rsidRDefault="00F64ED0" w:rsidP="004942B7">
      <w:pPr>
        <w:pStyle w:val="Titre3"/>
        <w:tabs>
          <w:tab w:val="left" w:pos="540"/>
        </w:tabs>
        <w:spacing w:before="0" w:after="0"/>
        <w:jc w:val="left"/>
        <w:rPr>
          <w:rFonts w:ascii="Verdana" w:hAnsi="Verdana"/>
          <w:caps/>
          <w:color w:val="D51366"/>
          <w:sz w:val="16"/>
          <w:szCs w:val="16"/>
        </w:rPr>
      </w:pPr>
      <w:r w:rsidRPr="00F4779C">
        <w:rPr>
          <w:rFonts w:ascii="Verdana" w:hAnsi="Verdana"/>
          <w:caps/>
          <w:color w:val="D51366"/>
          <w:sz w:val="16"/>
          <w:szCs w:val="16"/>
        </w:rPr>
        <w:t xml:space="preserve">I - </w:t>
      </w:r>
      <w:r w:rsidRPr="00F4779C">
        <w:rPr>
          <w:rFonts w:ascii="Verdana" w:hAnsi="Verdana"/>
          <w:caps/>
          <w:color w:val="D51366"/>
          <w:sz w:val="16"/>
          <w:szCs w:val="16"/>
        </w:rPr>
        <w:tab/>
        <w:t>Activité – Faits marquants – Evènements postérieurs à la clôture – Evolution récente et perspective</w:t>
      </w:r>
    </w:p>
    <w:p w:rsidR="00F64ED0" w:rsidRPr="00F4779C" w:rsidRDefault="00F64ED0" w:rsidP="004942B7">
      <w:pPr>
        <w:spacing w:line="240" w:lineRule="auto"/>
        <w:jc w:val="both"/>
        <w:rPr>
          <w:rFonts w:ascii="Verdana" w:hAnsi="Verdana"/>
          <w:color w:val="4C4E53"/>
          <w:sz w:val="16"/>
          <w:szCs w:val="16"/>
        </w:rPr>
      </w:pPr>
    </w:p>
    <w:p w:rsidR="00850A44" w:rsidRPr="00F4779C" w:rsidRDefault="00850A44" w:rsidP="004942B7">
      <w:pPr>
        <w:pStyle w:val="Formatlibre"/>
        <w:tabs>
          <w:tab w:val="left" w:pos="2000"/>
        </w:tabs>
        <w:rPr>
          <w:rFonts w:ascii="Verdana" w:hAnsi="Verdana" w:cs="Arial"/>
          <w:b/>
          <w:color w:val="D51366"/>
          <w:sz w:val="16"/>
          <w:szCs w:val="16"/>
        </w:rPr>
      </w:pPr>
      <w:r w:rsidRPr="00F4779C">
        <w:rPr>
          <w:rFonts w:ascii="Verdana" w:hAnsi="Verdana" w:cs="Arial"/>
          <w:b/>
          <w:color w:val="D51366"/>
          <w:sz w:val="16"/>
          <w:szCs w:val="16"/>
        </w:rPr>
        <w:t xml:space="preserve">1. Activité et faits marquants de l’exercice – Progrès réalisés ou difficultés rencontrées </w:t>
      </w:r>
    </w:p>
    <w:p w:rsidR="00850A44" w:rsidRPr="00F4779C" w:rsidRDefault="00850A44" w:rsidP="004942B7">
      <w:pPr>
        <w:pStyle w:val="Formatlibre"/>
        <w:tabs>
          <w:tab w:val="left" w:pos="2000"/>
        </w:tabs>
        <w:rPr>
          <w:rFonts w:ascii="Verdana" w:hAnsi="Verdana" w:cs="Arial"/>
          <w:b/>
          <w:color w:val="D51366"/>
          <w:sz w:val="16"/>
          <w:szCs w:val="16"/>
        </w:rPr>
      </w:pPr>
    </w:p>
    <w:p w:rsidR="00850A44" w:rsidRPr="00F4779C" w:rsidRDefault="00850A44" w:rsidP="004942B7">
      <w:pPr>
        <w:pStyle w:val="Formatlibre"/>
        <w:tabs>
          <w:tab w:val="left" w:pos="2240"/>
        </w:tabs>
        <w:ind w:left="480"/>
        <w:rPr>
          <w:rFonts w:ascii="Verdana" w:hAnsi="Verdana" w:cs="Arial"/>
          <w:b/>
          <w:color w:val="D51366"/>
          <w:sz w:val="16"/>
          <w:szCs w:val="16"/>
        </w:rPr>
      </w:pPr>
      <w:r w:rsidRPr="00F4779C">
        <w:rPr>
          <w:rFonts w:ascii="Verdana" w:hAnsi="Verdana" w:cs="Arial"/>
          <w:b/>
          <w:color w:val="D51366"/>
          <w:sz w:val="16"/>
          <w:szCs w:val="16"/>
        </w:rPr>
        <w:t>1.1 Activité</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 xml:space="preserve">Cf. paragraphe </w:t>
      </w:r>
      <w:r w:rsidR="00027C37" w:rsidRPr="00F4779C">
        <w:rPr>
          <w:rFonts w:ascii="Verdana" w:hAnsi="Verdana" w:cs="Arial"/>
          <w:color w:val="4C4E53"/>
          <w:sz w:val="16"/>
          <w:szCs w:val="16"/>
        </w:rPr>
        <w:t>II-</w:t>
      </w:r>
      <w:r w:rsidRPr="00F4779C">
        <w:rPr>
          <w:rFonts w:ascii="Verdana" w:hAnsi="Verdana" w:cs="Arial"/>
          <w:color w:val="4C4E53"/>
          <w:sz w:val="16"/>
          <w:szCs w:val="16"/>
        </w:rPr>
        <w:t>1.1 ci-dessous.</w:t>
      </w:r>
    </w:p>
    <w:p w:rsidR="00850A44" w:rsidRPr="00F4779C" w:rsidRDefault="00850A44" w:rsidP="004942B7">
      <w:pPr>
        <w:pStyle w:val="Formatlibre"/>
        <w:tabs>
          <w:tab w:val="left" w:pos="2240"/>
        </w:tabs>
        <w:ind w:left="480"/>
        <w:rPr>
          <w:rFonts w:ascii="Verdana" w:hAnsi="Verdana" w:cs="Arial"/>
          <w:color w:val="4C4E53"/>
          <w:sz w:val="16"/>
          <w:szCs w:val="16"/>
        </w:rPr>
      </w:pPr>
    </w:p>
    <w:p w:rsidR="00850A44" w:rsidRPr="00F4779C" w:rsidRDefault="00850A44" w:rsidP="004942B7">
      <w:pPr>
        <w:pStyle w:val="Formatlibre"/>
        <w:tabs>
          <w:tab w:val="left" w:pos="2240"/>
        </w:tabs>
        <w:ind w:left="480"/>
        <w:rPr>
          <w:rFonts w:ascii="Verdana" w:hAnsi="Verdana" w:cs="Arial"/>
          <w:b/>
          <w:color w:val="D51366"/>
          <w:sz w:val="16"/>
          <w:szCs w:val="16"/>
        </w:rPr>
      </w:pPr>
      <w:r w:rsidRPr="00F4779C">
        <w:rPr>
          <w:rFonts w:ascii="Verdana" w:hAnsi="Verdana" w:cs="Arial"/>
          <w:b/>
          <w:color w:val="D51366"/>
          <w:sz w:val="16"/>
          <w:szCs w:val="16"/>
        </w:rPr>
        <w:t>1.2 Faits marquants</w:t>
      </w:r>
    </w:p>
    <w:p w:rsidR="00850A44" w:rsidRPr="00F4779C" w:rsidRDefault="00850A44" w:rsidP="004942B7">
      <w:pPr>
        <w:spacing w:line="240" w:lineRule="auto"/>
        <w:rPr>
          <w:rFonts w:ascii="Verdana" w:hAnsi="Verdana" w:cs="Arial"/>
          <w:color w:val="D51366"/>
          <w:sz w:val="16"/>
          <w:szCs w:val="16"/>
        </w:rPr>
      </w:pPr>
    </w:p>
    <w:p w:rsidR="00850A44" w:rsidRPr="00F4779C" w:rsidRDefault="00850A44" w:rsidP="004942B7">
      <w:pPr>
        <w:pStyle w:val="Formatlibre"/>
        <w:tabs>
          <w:tab w:val="left" w:pos="2480"/>
        </w:tabs>
        <w:ind w:left="960"/>
        <w:rPr>
          <w:rFonts w:ascii="Verdana" w:hAnsi="Verdana" w:cs="Arial"/>
          <w:b/>
          <w:color w:val="D51366"/>
          <w:sz w:val="16"/>
          <w:szCs w:val="16"/>
        </w:rPr>
      </w:pPr>
      <w:r w:rsidRPr="00F4779C">
        <w:rPr>
          <w:rFonts w:ascii="Verdana" w:hAnsi="Verdana" w:cs="Arial"/>
          <w:b/>
          <w:color w:val="D51366"/>
          <w:sz w:val="16"/>
          <w:szCs w:val="16"/>
        </w:rPr>
        <w:t>1.2.1 Prise de participation dans la société Broadcast Networks Limited</w:t>
      </w:r>
    </w:p>
    <w:p w:rsidR="00850A44" w:rsidRPr="00F4779C" w:rsidRDefault="00850A44" w:rsidP="004942B7">
      <w:pPr>
        <w:pStyle w:val="Formatlibre"/>
        <w:tabs>
          <w:tab w:val="left" w:pos="2480"/>
        </w:tabs>
        <w:ind w:left="960"/>
        <w:jc w:val="both"/>
        <w:rPr>
          <w:rFonts w:ascii="Verdana" w:hAnsi="Verdana" w:cs="Arial"/>
          <w:color w:val="4C4E53"/>
          <w:sz w:val="16"/>
          <w:szCs w:val="16"/>
        </w:rPr>
      </w:pPr>
    </w:p>
    <w:p w:rsidR="00850A44" w:rsidRPr="00F4779C" w:rsidRDefault="00850A44" w:rsidP="004942B7">
      <w:pPr>
        <w:spacing w:line="240" w:lineRule="auto"/>
        <w:jc w:val="both"/>
        <w:rPr>
          <w:rFonts w:ascii="Verdana" w:hAnsi="Verdana" w:cs="Arial"/>
          <w:color w:val="4C4E53"/>
          <w:sz w:val="16"/>
          <w:szCs w:val="16"/>
        </w:rPr>
      </w:pPr>
      <w:r w:rsidRPr="00F4779C">
        <w:rPr>
          <w:rFonts w:ascii="Verdana" w:hAnsi="Verdana" w:cs="Arial"/>
          <w:color w:val="4C4E53"/>
          <w:sz w:val="16"/>
          <w:szCs w:val="16"/>
        </w:rPr>
        <w:t xml:space="preserve">Le 30 septembre 2013, le Groupe a pris une participation de 30 % dans la société britannique « Broadcast Networks Ltd » pour un montant de 6 000 £ et a souscrit un emprunt obligataire convertible en actions à compter de 2016 et à échéance 2018 d’un montant de 1 256 850 £. La conversion des obligations n’est pas soumise à limitation dans la prise de participation finale au capital de Broadcast Networks dont la valorisation, à date, variera en fonction de son chiffre d’affaires et de ses résultats. </w:t>
      </w:r>
    </w:p>
    <w:p w:rsidR="00850A44" w:rsidRPr="00F4779C" w:rsidRDefault="00850A44" w:rsidP="004942B7">
      <w:pPr>
        <w:spacing w:line="240" w:lineRule="auto"/>
        <w:jc w:val="both"/>
        <w:rPr>
          <w:rFonts w:ascii="Verdana" w:hAnsi="Verdana" w:cs="Arial"/>
          <w:color w:val="4C4E53"/>
          <w:sz w:val="16"/>
          <w:szCs w:val="16"/>
        </w:rPr>
      </w:pPr>
    </w:p>
    <w:p w:rsidR="00850A44" w:rsidRPr="00F4779C" w:rsidRDefault="00850A44" w:rsidP="004942B7">
      <w:pPr>
        <w:spacing w:line="240" w:lineRule="auto"/>
        <w:jc w:val="both"/>
        <w:rPr>
          <w:rFonts w:ascii="Verdana" w:hAnsi="Verdana" w:cs="Arial"/>
          <w:color w:val="4C4E53"/>
          <w:sz w:val="16"/>
          <w:szCs w:val="16"/>
        </w:rPr>
      </w:pPr>
      <w:r w:rsidRPr="00F4779C">
        <w:rPr>
          <w:rFonts w:ascii="Verdana" w:hAnsi="Verdana" w:cs="Arial"/>
          <w:color w:val="4C4E53"/>
          <w:sz w:val="16"/>
          <w:szCs w:val="16"/>
        </w:rPr>
        <w:t>Broadcast Networks est un intégrateur de systèmes et solutions audiovisuels basé au Royaume Uni comprenant de nombreux clients parmi les « </w:t>
      </w:r>
      <w:r w:rsidRPr="00F4779C">
        <w:rPr>
          <w:rFonts w:ascii="Verdana" w:hAnsi="Verdana" w:cs="Arial"/>
          <w:i/>
          <w:color w:val="4C4E53"/>
          <w:sz w:val="16"/>
          <w:szCs w:val="16"/>
        </w:rPr>
        <w:t>blue chips </w:t>
      </w:r>
      <w:r w:rsidRPr="00F4779C">
        <w:rPr>
          <w:rFonts w:ascii="Verdana" w:hAnsi="Verdana" w:cs="Arial"/>
          <w:color w:val="4C4E53"/>
          <w:sz w:val="16"/>
          <w:szCs w:val="16"/>
        </w:rPr>
        <w:t>». Fondée par Jan Haye, un professionnel de réputation internationale dans le broadcast, la société a plus de 20 ans d’expérience sur le marché. Des régies fixes aux régies mobiles jusqu’aux nouvelles solutions en matière d’archivage et transmission de données, Broadcast Networks offre des solutions totalement intégrées et sur mesure. Broadcast Networks a élargi plus récemment ses activités aux secteurs de la Sécurité et de la Défense.</w:t>
      </w:r>
    </w:p>
    <w:p w:rsidR="00850A44" w:rsidRPr="00F4779C" w:rsidRDefault="00850A44" w:rsidP="004942B7">
      <w:pPr>
        <w:spacing w:line="240" w:lineRule="auto"/>
        <w:jc w:val="both"/>
        <w:rPr>
          <w:rFonts w:ascii="Verdana" w:hAnsi="Verdana" w:cs="Arial"/>
          <w:color w:val="4C4E53"/>
          <w:sz w:val="16"/>
          <w:szCs w:val="16"/>
        </w:rPr>
      </w:pPr>
    </w:p>
    <w:p w:rsidR="00850A44" w:rsidRPr="00F4779C" w:rsidRDefault="00850A44" w:rsidP="004942B7">
      <w:pPr>
        <w:spacing w:line="240" w:lineRule="auto"/>
        <w:jc w:val="both"/>
        <w:rPr>
          <w:rFonts w:ascii="Verdana" w:hAnsi="Verdana" w:cs="Arial"/>
          <w:color w:val="4C4E53"/>
          <w:sz w:val="16"/>
          <w:szCs w:val="16"/>
        </w:rPr>
      </w:pPr>
      <w:r w:rsidRPr="00F4779C">
        <w:rPr>
          <w:rFonts w:ascii="Verdana" w:hAnsi="Verdana" w:cs="Arial"/>
          <w:color w:val="4C4E53"/>
          <w:sz w:val="16"/>
          <w:szCs w:val="16"/>
        </w:rPr>
        <w:t>Ce nouveau partenariat va permettre aux deux professionnels de se développer à l’international, notamment dans le monde anglo-saxon, ainsi que de renforcer et compléter leur offre de solutions au travers notamment de la mutualisation de leurs compétences.</w:t>
      </w:r>
    </w:p>
    <w:p w:rsidR="00850A44" w:rsidRPr="00F4779C" w:rsidRDefault="00850A44" w:rsidP="004942B7">
      <w:pPr>
        <w:spacing w:line="240" w:lineRule="auto"/>
        <w:rPr>
          <w:rFonts w:ascii="Verdana" w:hAnsi="Verdana" w:cs="Arial"/>
          <w:color w:val="4C4E53"/>
          <w:sz w:val="16"/>
          <w:szCs w:val="16"/>
        </w:rPr>
      </w:pPr>
    </w:p>
    <w:p w:rsidR="00850A44" w:rsidRPr="00F4779C" w:rsidRDefault="00850A44" w:rsidP="004942B7">
      <w:pPr>
        <w:pStyle w:val="Formatlibre"/>
        <w:tabs>
          <w:tab w:val="left" w:pos="2480"/>
        </w:tabs>
        <w:ind w:left="960"/>
        <w:rPr>
          <w:rFonts w:ascii="Verdana" w:hAnsi="Verdana" w:cs="Arial"/>
          <w:b/>
          <w:color w:val="D51366"/>
          <w:sz w:val="16"/>
          <w:szCs w:val="16"/>
        </w:rPr>
      </w:pPr>
      <w:r w:rsidRPr="00F4779C">
        <w:rPr>
          <w:rFonts w:ascii="Verdana" w:hAnsi="Verdana" w:cs="Arial"/>
          <w:b/>
          <w:color w:val="D51366"/>
          <w:sz w:val="16"/>
          <w:szCs w:val="16"/>
        </w:rPr>
        <w:t>1.2.2 Fusion-absorption de la société Audio Equipement – Lumière &amp; Son et IEConnecting People par VIDELIO - IEC</w:t>
      </w:r>
    </w:p>
    <w:p w:rsidR="00850A44" w:rsidRPr="00F4779C" w:rsidRDefault="00850A44" w:rsidP="004942B7">
      <w:pPr>
        <w:pStyle w:val="Formatlibre"/>
        <w:tabs>
          <w:tab w:val="left" w:pos="2480"/>
        </w:tabs>
        <w:ind w:left="960"/>
        <w:jc w:val="both"/>
        <w:rPr>
          <w:rFonts w:ascii="Verdana" w:hAnsi="Verdana" w:cs="Arial"/>
          <w:color w:val="4C4E53"/>
          <w:sz w:val="16"/>
          <w:szCs w:val="16"/>
        </w:rPr>
      </w:pPr>
    </w:p>
    <w:p w:rsidR="00850A44" w:rsidRPr="00F4779C" w:rsidRDefault="00850A44" w:rsidP="004942B7">
      <w:pPr>
        <w:spacing w:line="240" w:lineRule="auto"/>
        <w:jc w:val="both"/>
        <w:rPr>
          <w:rFonts w:ascii="Verdana" w:hAnsi="Verdana" w:cs="Arial"/>
          <w:color w:val="4C4E53"/>
          <w:sz w:val="16"/>
          <w:szCs w:val="16"/>
        </w:rPr>
      </w:pPr>
      <w:r w:rsidRPr="00F4779C">
        <w:rPr>
          <w:rFonts w:ascii="Verdana" w:hAnsi="Verdana" w:cs="Arial"/>
          <w:color w:val="4C4E53"/>
          <w:sz w:val="16"/>
          <w:szCs w:val="16"/>
        </w:rPr>
        <w:t xml:space="preserve">Le 4 septembre 2013, VIDELIO - IEC a absorbé la société Audio Equipement – Lumière &amp; Son. Cette fusion a été précédée de l’acquisition par VIDELIO - IEC de la totalité des actions composant le capital d'Audio Equipement détenue par la Société de sorte que la fusion a été réalisée selon le régime simplifié prévu à l’article L. 236-11 du Code de commerce en cas d’absorption d’une filiale à 100 %. L’actif net transmis par Audio Equipement à VIDELIO - IEC dans le cadre de la fusion s’est élevé à </w:t>
      </w:r>
      <w:r w:rsidRPr="00F4779C">
        <w:rPr>
          <w:rFonts w:ascii="Verdana" w:hAnsi="Verdana" w:cs="Arial"/>
          <w:color w:val="4C4E53"/>
          <w:sz w:val="16"/>
          <w:szCs w:val="16"/>
        </w:rPr>
        <w:noBreakHyphen/>
        <w:t>126 785 € et la fusion a dégagé un mali de fusion d’un montant de 126 786 € comptabilisé à l’actif du bilan de VIDELIO - IEC. La fusion est devenue définitive le 4 septembre 2013, date à laquelle Audio Equipement a été dissoute de plein droit sans liquidation. D’un point de vue comptable et fiscal, la fusion a pris effet rétroactivement au 1</w:t>
      </w:r>
      <w:r w:rsidRPr="00F4779C">
        <w:rPr>
          <w:rFonts w:ascii="Verdana" w:hAnsi="Verdana" w:cs="Arial"/>
          <w:color w:val="4C4E53"/>
          <w:sz w:val="16"/>
          <w:szCs w:val="16"/>
          <w:vertAlign w:val="superscript"/>
        </w:rPr>
        <w:t>er</w:t>
      </w:r>
      <w:r w:rsidRPr="00F4779C">
        <w:rPr>
          <w:rFonts w:ascii="Verdana" w:hAnsi="Verdana" w:cs="Arial"/>
          <w:color w:val="4C4E53"/>
          <w:sz w:val="16"/>
          <w:szCs w:val="16"/>
        </w:rPr>
        <w:t xml:space="preserve"> janvier 2013. Dans le cadre de cette fusion, la Direction Régionale des Finances Publiques de Bretagne et du département d'Ille et Vilaine a accordé l’agrément prévu à l’article 209 II du Code général des impôts sollicité par VIDELIO - IEC en vue du transfert à VIDELIO - IEC des déficits fiscaux d'Audio Equipement qui demeuraient reportables au 31 décembre 2012 dont le montant s’élève à 777 907 €. </w:t>
      </w:r>
    </w:p>
    <w:p w:rsidR="00850A44" w:rsidRPr="00F4779C" w:rsidRDefault="00850A44" w:rsidP="004942B7">
      <w:pPr>
        <w:spacing w:line="240" w:lineRule="auto"/>
        <w:rPr>
          <w:rFonts w:ascii="Verdana" w:hAnsi="Verdana" w:cs="Arial"/>
          <w:color w:val="4C4E53"/>
          <w:sz w:val="16"/>
          <w:szCs w:val="16"/>
        </w:rPr>
      </w:pPr>
    </w:p>
    <w:p w:rsidR="00850A44" w:rsidRPr="00F4779C" w:rsidRDefault="00850A44" w:rsidP="004942B7">
      <w:pPr>
        <w:spacing w:line="240" w:lineRule="auto"/>
        <w:jc w:val="both"/>
        <w:rPr>
          <w:rFonts w:ascii="Verdana" w:hAnsi="Verdana" w:cs="Arial"/>
          <w:color w:val="4C4E53"/>
          <w:sz w:val="16"/>
          <w:szCs w:val="16"/>
        </w:rPr>
      </w:pPr>
      <w:r w:rsidRPr="00F4779C">
        <w:rPr>
          <w:rFonts w:ascii="Verdana" w:hAnsi="Verdana" w:cs="Arial"/>
          <w:color w:val="4C4E53"/>
          <w:sz w:val="16"/>
          <w:szCs w:val="16"/>
        </w:rPr>
        <w:t xml:space="preserve">Le 12 novembre 2013, VIDELIO - IEC a absorbé la société IEConnecting People. Cette fusion a été précédée de l’acquisition par VIDELIO - IEC de la totalité des actions composant le capital d'IEConnecting People détenue par la Société de sorte que la fusion a été réalisée selon le régime simplifié prévu à l’article L. 236-11 du Code de commerce en cas d’absorption d’une filiale à 100 %. L’actif net transmis par IEConnecting People à VIDELIO - IEC dans le cadre de la fusion s’est élevé à 555 528 € et la fusion a dégagé un boni de fusion d’un montant de 54 404 €. </w:t>
      </w:r>
      <w:r w:rsidRPr="00F4779C">
        <w:rPr>
          <w:rFonts w:ascii="Verdana" w:hAnsi="Verdana" w:cs="Arial"/>
          <w:bCs/>
          <w:iCs/>
          <w:color w:val="4C4E53"/>
          <w:sz w:val="16"/>
          <w:szCs w:val="16"/>
        </w:rPr>
        <w:t>Le boni de fusion a été comptabilisé dans le résultat financier à hauteur de la quote-part des résultats accumulés par IEConnecting People depuis son acquisition par VIDELIO - IEC et non distribués et, dans les capitaux propres pour le montant résiduels ou si les résultats accumulés ne peuvent être déterminés de manière fiable</w:t>
      </w:r>
      <w:r w:rsidRPr="00F4779C">
        <w:rPr>
          <w:rFonts w:ascii="Verdana" w:hAnsi="Verdana" w:cs="Arial"/>
          <w:color w:val="4C4E53"/>
          <w:sz w:val="16"/>
          <w:szCs w:val="16"/>
        </w:rPr>
        <w:t>. La fusion est devenue définitive le 12 novembre 2013, date à laquelle IEConnecting People a été dissoute de plein droit sans liquidation. D’un point de vue comptable et fiscal, la fusion a pris effet rétroactivement au 1</w:t>
      </w:r>
      <w:r w:rsidRPr="00F4779C">
        <w:rPr>
          <w:rFonts w:ascii="Verdana" w:hAnsi="Verdana" w:cs="Arial"/>
          <w:color w:val="4C4E53"/>
          <w:sz w:val="16"/>
          <w:szCs w:val="16"/>
          <w:vertAlign w:val="superscript"/>
        </w:rPr>
        <w:t>er</w:t>
      </w:r>
      <w:r w:rsidRPr="00F4779C">
        <w:rPr>
          <w:rFonts w:ascii="Verdana" w:hAnsi="Verdana" w:cs="Arial"/>
          <w:color w:val="4C4E53"/>
          <w:sz w:val="16"/>
          <w:szCs w:val="16"/>
        </w:rPr>
        <w:t xml:space="preserve"> janvier 2013. </w:t>
      </w:r>
    </w:p>
    <w:p w:rsidR="00850A44" w:rsidRPr="00F4779C" w:rsidRDefault="00850A44" w:rsidP="004942B7">
      <w:pPr>
        <w:spacing w:line="240" w:lineRule="auto"/>
        <w:rPr>
          <w:rFonts w:ascii="Verdana" w:hAnsi="Verdana" w:cs="Arial"/>
          <w:color w:val="4C4E53"/>
          <w:sz w:val="16"/>
          <w:szCs w:val="16"/>
        </w:rPr>
      </w:pPr>
    </w:p>
    <w:p w:rsidR="00850A44" w:rsidRPr="00F4779C" w:rsidRDefault="00850A44" w:rsidP="004942B7">
      <w:pPr>
        <w:pStyle w:val="Formatlibre"/>
        <w:tabs>
          <w:tab w:val="left" w:pos="2480"/>
        </w:tabs>
        <w:ind w:left="960"/>
        <w:rPr>
          <w:rFonts w:ascii="Verdana" w:hAnsi="Verdana" w:cs="Arial"/>
          <w:b/>
          <w:color w:val="D51366"/>
          <w:sz w:val="16"/>
          <w:szCs w:val="16"/>
        </w:rPr>
      </w:pPr>
      <w:r w:rsidRPr="00F4779C">
        <w:rPr>
          <w:rFonts w:ascii="Verdana" w:hAnsi="Verdana" w:cs="Arial"/>
          <w:b/>
          <w:color w:val="D51366"/>
          <w:sz w:val="16"/>
          <w:szCs w:val="16"/>
        </w:rPr>
        <w:t>1.2.3 Création de HMS Technologies S.r.l.</w:t>
      </w:r>
    </w:p>
    <w:p w:rsidR="00850A44" w:rsidRPr="00F4779C" w:rsidRDefault="00850A44" w:rsidP="004942B7">
      <w:pPr>
        <w:pStyle w:val="Formatlibre"/>
        <w:tabs>
          <w:tab w:val="left" w:pos="2480"/>
        </w:tabs>
        <w:ind w:left="960"/>
        <w:jc w:val="both"/>
        <w:rPr>
          <w:rFonts w:ascii="Verdana" w:hAnsi="Verdana" w:cs="Arial"/>
          <w:color w:val="4C4E53"/>
          <w:sz w:val="16"/>
          <w:szCs w:val="16"/>
        </w:rPr>
      </w:pPr>
    </w:p>
    <w:p w:rsidR="00850A44" w:rsidRPr="00F4779C" w:rsidRDefault="00850A44" w:rsidP="004942B7">
      <w:pPr>
        <w:spacing w:line="240" w:lineRule="auto"/>
        <w:jc w:val="both"/>
        <w:rPr>
          <w:rFonts w:ascii="Verdana" w:hAnsi="Verdana" w:cs="Arial"/>
          <w:color w:val="4C4E53"/>
          <w:sz w:val="16"/>
          <w:szCs w:val="16"/>
        </w:rPr>
      </w:pPr>
      <w:r w:rsidRPr="00F4779C">
        <w:rPr>
          <w:rFonts w:ascii="Verdana" w:hAnsi="Verdana" w:cs="Arial"/>
          <w:color w:val="4C4E53"/>
          <w:sz w:val="16"/>
          <w:szCs w:val="16"/>
        </w:rPr>
        <w:t xml:space="preserve">Le 8 août 2013, VIDELIO - HMS a constitué une filiale à 100 %, la société HMS Technologies S.r.l., société de droit italien établi à </w:t>
      </w:r>
      <w:r w:rsidRPr="00F4779C">
        <w:rPr>
          <w:rFonts w:ascii="Verdana" w:hAnsi="Verdana" w:cs="Arial"/>
          <w:bCs/>
          <w:color w:val="4C4E53"/>
          <w:w w:val="0"/>
          <w:sz w:val="16"/>
          <w:szCs w:val="16"/>
        </w:rPr>
        <w:t>Monfalcone (GO),</w:t>
      </w:r>
      <w:r w:rsidRPr="00F4779C">
        <w:rPr>
          <w:rFonts w:ascii="Verdana" w:hAnsi="Verdana" w:cs="Arial"/>
          <w:color w:val="4C4E53"/>
          <w:sz w:val="16"/>
          <w:szCs w:val="16"/>
        </w:rPr>
        <w:t xml:space="preserve"> </w:t>
      </w:r>
      <w:r w:rsidRPr="00F4779C">
        <w:rPr>
          <w:rFonts w:ascii="Verdana" w:hAnsi="Verdana" w:cs="Arial"/>
          <w:bCs/>
          <w:color w:val="4C4E53"/>
          <w:w w:val="0"/>
          <w:sz w:val="16"/>
          <w:szCs w:val="16"/>
        </w:rPr>
        <w:t>via F.LLI Fontanot 35</w:t>
      </w:r>
      <w:r w:rsidRPr="00F4779C">
        <w:rPr>
          <w:rFonts w:ascii="Verdana" w:hAnsi="Verdana" w:cs="Arial"/>
          <w:color w:val="4C4E53"/>
          <w:sz w:val="16"/>
          <w:szCs w:val="16"/>
        </w:rPr>
        <w:t xml:space="preserve"> </w:t>
      </w:r>
      <w:r w:rsidRPr="00F4779C">
        <w:rPr>
          <w:rFonts w:ascii="Verdana" w:hAnsi="Verdana" w:cs="Arial"/>
          <w:bCs/>
          <w:color w:val="4C4E53"/>
          <w:w w:val="0"/>
          <w:sz w:val="16"/>
          <w:szCs w:val="16"/>
        </w:rPr>
        <w:t xml:space="preserve">cap 34074. </w:t>
      </w:r>
      <w:bookmarkStart w:id="1" w:name="OLE_LINK9"/>
      <w:bookmarkStart w:id="2" w:name="OLE_LINK10"/>
      <w:r w:rsidRPr="00F4779C">
        <w:rPr>
          <w:rFonts w:ascii="Verdana" w:hAnsi="Verdana" w:cs="Arial"/>
          <w:bCs/>
          <w:color w:val="4C4E53"/>
          <w:w w:val="0"/>
          <w:sz w:val="16"/>
          <w:szCs w:val="16"/>
        </w:rPr>
        <w:t>Cette société a pris en location gérance le fonds de commerce ACR (ancien sous-traitant HMS Italie placé en redressement judiciaire) pour une période de 12 mois du 10 septembre 2013 au 10 septembre 2014 et est spécialisée dans la machinerie scénique et le show control.</w:t>
      </w:r>
      <w:bookmarkEnd w:id="1"/>
      <w:bookmarkEnd w:id="2"/>
    </w:p>
    <w:p w:rsidR="00850A44" w:rsidRPr="00F4779C" w:rsidRDefault="00850A44" w:rsidP="004942B7">
      <w:pPr>
        <w:pStyle w:val="Formatlibre"/>
        <w:tabs>
          <w:tab w:val="left" w:pos="2480"/>
        </w:tabs>
        <w:ind w:left="960"/>
        <w:rPr>
          <w:rFonts w:ascii="Verdana" w:hAnsi="Verdana" w:cs="Arial"/>
          <w:color w:val="4C4E53"/>
          <w:sz w:val="16"/>
          <w:szCs w:val="16"/>
        </w:rPr>
      </w:pPr>
    </w:p>
    <w:p w:rsidR="00850A44" w:rsidRPr="00F4779C" w:rsidRDefault="00850A44" w:rsidP="004942B7">
      <w:pPr>
        <w:pStyle w:val="Formatlibre"/>
        <w:tabs>
          <w:tab w:val="left" w:pos="2480"/>
        </w:tabs>
        <w:ind w:left="960"/>
        <w:rPr>
          <w:rFonts w:ascii="Verdana" w:hAnsi="Verdana" w:cs="Arial"/>
          <w:b/>
          <w:color w:val="D51366"/>
          <w:sz w:val="16"/>
          <w:szCs w:val="16"/>
        </w:rPr>
      </w:pPr>
      <w:r w:rsidRPr="00F4779C">
        <w:rPr>
          <w:rFonts w:ascii="Verdana" w:hAnsi="Verdana" w:cs="Arial"/>
          <w:b/>
          <w:color w:val="D51366"/>
          <w:sz w:val="16"/>
          <w:szCs w:val="16"/>
        </w:rPr>
        <w:t>1.2.4 Renouvellement du mandat du président-directeur général – Nomination d'un directeur général délégué et d'une secrétaire générale groupe</w:t>
      </w:r>
    </w:p>
    <w:p w:rsidR="00850A44" w:rsidRPr="00F4779C" w:rsidRDefault="00850A44" w:rsidP="004942B7">
      <w:pPr>
        <w:spacing w:line="240" w:lineRule="auto"/>
        <w:rPr>
          <w:rFonts w:ascii="Verdana" w:hAnsi="Verdana" w:cs="Arial"/>
          <w:color w:val="4C4E53"/>
          <w:sz w:val="16"/>
          <w:szCs w:val="16"/>
        </w:rPr>
      </w:pPr>
    </w:p>
    <w:p w:rsidR="00850A44" w:rsidRPr="00F4779C" w:rsidRDefault="00850A44" w:rsidP="004942B7">
      <w:pPr>
        <w:spacing w:line="240" w:lineRule="auto"/>
        <w:jc w:val="both"/>
        <w:rPr>
          <w:rFonts w:ascii="Verdana" w:hAnsi="Verdana" w:cs="Arial"/>
          <w:color w:val="4C4E53"/>
          <w:sz w:val="16"/>
          <w:szCs w:val="16"/>
        </w:rPr>
      </w:pPr>
      <w:r w:rsidRPr="00F4779C">
        <w:rPr>
          <w:rFonts w:ascii="Verdana" w:hAnsi="Verdana" w:cs="Arial"/>
          <w:color w:val="4C4E53"/>
          <w:sz w:val="16"/>
          <w:szCs w:val="16"/>
        </w:rPr>
        <w:t xml:space="preserve">Le conseil d'administration du 28 juin 2013 a décidé de reconduire M. Hervé de Galbert dans ses fonctions de président-directeur général. Le conseil d'administration a également décidé, sur proposition de M. Hervé de Galbert, de nommer M. Guillaume Durieux en qualité de directeur général délégué. Ce dernier continuera également à diriger le pôle « Corporate » et conserve ses mandats de direction des sociétés VIDELIO - IEC, VIDELIO - Events et VIDELIO - Cap'Ciné. </w:t>
      </w:r>
    </w:p>
    <w:p w:rsidR="00850A44" w:rsidRPr="00F4779C" w:rsidRDefault="00850A44" w:rsidP="004942B7">
      <w:pPr>
        <w:spacing w:line="240" w:lineRule="auto"/>
        <w:jc w:val="both"/>
        <w:rPr>
          <w:rFonts w:ascii="Verdana" w:hAnsi="Verdana" w:cs="Arial"/>
          <w:color w:val="4C4E53"/>
          <w:sz w:val="16"/>
          <w:szCs w:val="16"/>
        </w:rPr>
      </w:pPr>
    </w:p>
    <w:p w:rsidR="00850A44" w:rsidRPr="00F4779C" w:rsidRDefault="00850A44" w:rsidP="004942B7">
      <w:pPr>
        <w:spacing w:line="240" w:lineRule="auto"/>
        <w:jc w:val="both"/>
        <w:rPr>
          <w:rFonts w:ascii="Verdana" w:hAnsi="Verdana" w:cs="Arial"/>
          <w:color w:val="4C4E53"/>
          <w:sz w:val="16"/>
          <w:szCs w:val="16"/>
        </w:rPr>
      </w:pPr>
      <w:r w:rsidRPr="00F4779C">
        <w:rPr>
          <w:rFonts w:ascii="Verdana" w:hAnsi="Verdana" w:cs="Arial"/>
          <w:color w:val="4C4E53"/>
          <w:sz w:val="16"/>
          <w:szCs w:val="16"/>
        </w:rPr>
        <w:t>De plus, le conseil a décidé de nommer Mme Carole Théry en qualité de secrétaire générale groupe. Elle cumulera cette fonction avec celle de directrice administrative et financière du Groupe, la présidence de VIDELIO - HMS et le poste de chairman d’Harbour Marine Systems.</w:t>
      </w:r>
    </w:p>
    <w:p w:rsidR="00850A44" w:rsidRPr="00F4779C" w:rsidRDefault="00850A44" w:rsidP="004942B7">
      <w:pPr>
        <w:pStyle w:val="Formatlibre"/>
        <w:tabs>
          <w:tab w:val="left" w:pos="2480"/>
        </w:tabs>
        <w:ind w:left="960"/>
        <w:jc w:val="both"/>
        <w:rPr>
          <w:rFonts w:ascii="Verdana" w:hAnsi="Verdana" w:cs="Arial"/>
          <w:b/>
          <w:color w:val="4C4E53"/>
          <w:sz w:val="16"/>
          <w:szCs w:val="16"/>
        </w:rPr>
      </w:pPr>
    </w:p>
    <w:p w:rsidR="00850A44" w:rsidRPr="00F4779C" w:rsidRDefault="00850A44" w:rsidP="004942B7">
      <w:pPr>
        <w:pStyle w:val="Formatlibre"/>
        <w:tabs>
          <w:tab w:val="left" w:pos="2480"/>
        </w:tabs>
        <w:ind w:left="960"/>
        <w:rPr>
          <w:rFonts w:ascii="Verdana" w:hAnsi="Verdana" w:cs="Arial"/>
          <w:b/>
          <w:color w:val="D51366"/>
          <w:sz w:val="16"/>
          <w:szCs w:val="16"/>
        </w:rPr>
      </w:pPr>
      <w:r w:rsidRPr="00F4779C">
        <w:rPr>
          <w:rFonts w:ascii="Verdana" w:hAnsi="Verdana" w:cs="Arial"/>
          <w:b/>
          <w:color w:val="D51366"/>
          <w:sz w:val="16"/>
          <w:szCs w:val="16"/>
        </w:rPr>
        <w:t>1.2.5 Augmentation de capital par exercice d'options de souscription d'actions</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spacing w:line="240" w:lineRule="auto"/>
        <w:jc w:val="both"/>
        <w:rPr>
          <w:rFonts w:ascii="Verdana" w:hAnsi="Verdana" w:cs="Arial"/>
          <w:color w:val="4C4E53"/>
          <w:sz w:val="16"/>
          <w:szCs w:val="16"/>
        </w:rPr>
      </w:pPr>
      <w:r w:rsidRPr="00F4779C">
        <w:rPr>
          <w:rFonts w:ascii="Verdana" w:hAnsi="Verdana" w:cs="Arial"/>
          <w:color w:val="4C4E53"/>
          <w:sz w:val="16"/>
          <w:szCs w:val="16"/>
        </w:rPr>
        <w:t>Lors de sa séance du 6 juin 2013, le conseil d'administration a constaté la création et l'émission de 190 227 actions nouvelles de 0,30 € chacune au résultat de l'exercice d'options de souscription d'actions des plans n° 6 et 7 par la succession de M. Alain Cotte, soit une augmentation de capital d'un montant nominal de 57 068,10 €, assortie d'une prime d'émission de 214 481,90 €. A l'issue de cette opération, le capital de la Société s'élève à 7 762 745,10 € divisé en 25 875 817 actions.</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keepNext/>
        <w:tabs>
          <w:tab w:val="left" w:pos="2480"/>
        </w:tabs>
        <w:ind w:left="960"/>
        <w:rPr>
          <w:rFonts w:ascii="Verdana" w:hAnsi="Verdana" w:cs="Arial"/>
          <w:b/>
          <w:color w:val="D51366"/>
          <w:sz w:val="16"/>
          <w:szCs w:val="16"/>
        </w:rPr>
      </w:pPr>
      <w:r w:rsidRPr="00F4779C">
        <w:rPr>
          <w:rFonts w:ascii="Verdana" w:hAnsi="Verdana" w:cs="Arial"/>
          <w:b/>
          <w:color w:val="D51366"/>
          <w:sz w:val="16"/>
          <w:szCs w:val="16"/>
        </w:rPr>
        <w:t>1.2.6 Cession du fonds de commerce « Corporate » de Kezia par VIDELIO - HMS à VIDELIO - IEC</w:t>
      </w:r>
    </w:p>
    <w:p w:rsidR="00850A44" w:rsidRPr="00F4779C" w:rsidRDefault="00850A44" w:rsidP="004942B7">
      <w:pPr>
        <w:pStyle w:val="Formatlibre"/>
        <w:keepNext/>
        <w:tabs>
          <w:tab w:val="left" w:pos="2480"/>
        </w:tabs>
        <w:ind w:left="960"/>
        <w:jc w:val="both"/>
        <w:rPr>
          <w:rFonts w:ascii="Verdana" w:hAnsi="Verdana" w:cs="Arial"/>
          <w:color w:val="4C4E53"/>
          <w:sz w:val="16"/>
          <w:szCs w:val="16"/>
        </w:rPr>
      </w:pPr>
    </w:p>
    <w:p w:rsidR="00850A44" w:rsidRPr="00F4779C" w:rsidRDefault="00850A44" w:rsidP="004942B7">
      <w:pPr>
        <w:keepNext/>
        <w:spacing w:line="240" w:lineRule="auto"/>
        <w:jc w:val="both"/>
        <w:rPr>
          <w:rFonts w:ascii="Verdana" w:hAnsi="Verdana" w:cs="Arial"/>
          <w:color w:val="4C4E53"/>
          <w:sz w:val="16"/>
          <w:szCs w:val="16"/>
        </w:rPr>
      </w:pPr>
      <w:r w:rsidRPr="00F4779C">
        <w:rPr>
          <w:rFonts w:ascii="Verdana" w:hAnsi="Verdana" w:cs="Arial"/>
          <w:color w:val="4C4E53"/>
          <w:sz w:val="16"/>
          <w:szCs w:val="16"/>
        </w:rPr>
        <w:t>Pour assurer une meilleure lisibilité des activités de la marque Kezia, les fonds de commerce « Corporate », « Hospitality » et « Résidentiel » de Kezia ont été cédés le 1</w:t>
      </w:r>
      <w:r w:rsidRPr="00F4779C">
        <w:rPr>
          <w:rFonts w:ascii="Verdana" w:hAnsi="Verdana" w:cs="Arial"/>
          <w:color w:val="4C4E53"/>
          <w:sz w:val="16"/>
          <w:szCs w:val="16"/>
          <w:vertAlign w:val="superscript"/>
        </w:rPr>
        <w:t>er</w:t>
      </w:r>
      <w:r w:rsidRPr="00F4779C">
        <w:rPr>
          <w:rFonts w:ascii="Verdana" w:hAnsi="Verdana" w:cs="Arial"/>
          <w:color w:val="4C4E53"/>
          <w:sz w:val="16"/>
          <w:szCs w:val="16"/>
        </w:rPr>
        <w:t> mars 2013 par VIDELIO - HMS à VIDELIO - IEC.</w:t>
      </w:r>
      <w:r w:rsidR="00D00A18" w:rsidRPr="00EC6B08">
        <w:rPr>
          <w:rFonts w:ascii="Verdana" w:hAnsi="Verdana" w:cs="Arial"/>
          <w:color w:val="4C4E53"/>
          <w:position w:val="-5"/>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3.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48&quot;/&gt;&lt;w:bordersDontSurroundHeader/&gt;&lt;w:bordersDontSurroundFooter/&gt;&lt;w:proofState w:grammar=&quot;clean&quot;/&gt;&lt;w:stylePaneFormatFilter w:val=&quot;2801&quot;/&gt;&lt;w:defaultTabStop w:val=&quot;720&quot;/&gt;&lt;w:defaultTableStyle w:sti=&quot;0&quot; w:val=&quot;Normal&quot;/&gt;&lt;w:drawingGridHorizontalSpacing w:val=&quot;120&quot;/&gt;&lt;w:drawingGridVerticalSpacing w:val=&quot;0&quot;/&gt;&lt;w:displayHorizontalDrawingGridEvery w:val=&quot;0&quot;/&gt;&lt;w:displayVerticalDrawingGridEvery w:val=&quot;0&quot;/&gt;&lt;w:doNotShadeFormData/&gt;&lt;w:characterSpacingControl w:val=&quot;DontCompress&quot;/&gt;&lt;w:pixelsPerInch w:val=&quot;72&quot;/&gt;&lt;w:targetScreenSz w:val=&quot;544x376&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compat&gt;&lt;wsp:rsids&gt;&lt;wsp:rsidRoot wsp:val=&quot;004C2E1E&quot;/&gt;&lt;wsp:rsid wsp:val=&quot;0000177D&quot;/&gt;&lt;wsp:rsid wsp:val=&quot;00007A48&quot;/&gt;&lt;wsp:rsid wsp:val=&quot;00007F3F&quot;/&gt;&lt;wsp:rsid wsp:val=&quot;00011431&quot;/&gt;&lt;wsp:rsid wsp:val=&quot;00011CE7&quot;/&gt;&lt;wsp:rsid wsp:val=&quot;00012D05&quot;/&gt;&lt;wsp:rsid wsp:val=&quot;00014231&quot;/&gt;&lt;wsp:rsid wsp:val=&quot;00015307&quot;/&gt;&lt;wsp:rsid wsp:val=&quot;00015649&quot;/&gt;&lt;wsp:rsid wsp:val=&quot;0001620D&quot;/&gt;&lt;wsp:rsid wsp:val=&quot;0002037E&quot;/&gt;&lt;wsp:rsid wsp:val=&quot;00030804&quot;/&gt;&lt;wsp:rsid wsp:val=&quot;00030FD3&quot;/&gt;&lt;wsp:rsid wsp:val=&quot;00033B9E&quot;/&gt;&lt;wsp:rsid wsp:val=&quot;00035870&quot;/&gt;&lt;wsp:rsid wsp:val=&quot;00041DE0&quot;/&gt;&lt;wsp:rsid wsp:val=&quot;000429CB&quot;/&gt;&lt;wsp:rsid wsp:val=&quot;00052586&quot;/&gt;&lt;wsp:rsid wsp:val=&quot;0005517B&quot;/&gt;&lt;wsp:rsid wsp:val=&quot;0006043F&quot;/&gt;&lt;wsp:rsid wsp:val=&quot;0006187F&quot;/&gt;&lt;wsp:rsid wsp:val=&quot;00067D5E&quot;/&gt;&lt;wsp:rsid wsp:val=&quot;00072417&quot;/&gt;&lt;wsp:rsid wsp:val=&quot;0007446D&quot;/&gt;&lt;wsp:rsid wsp:val=&quot;00075322&quot;/&gt;&lt;wsp:rsid wsp:val=&quot;000778E0&quot;/&gt;&lt;wsp:rsid wsp:val=&quot;00085978&quot;/&gt;&lt;wsp:rsid wsp:val=&quot;00086938&quot;/&gt;&lt;wsp:rsid wsp:val=&quot;00090471&quot;/&gt;&lt;wsp:rsid wsp:val=&quot;000944C5&quot;/&gt;&lt;wsp:rsid wsp:val=&quot;000957D7&quot;/&gt;&lt;wsp:rsid wsp:val=&quot;000968CA&quot;/&gt;&lt;wsp:rsid wsp:val=&quot;000A1BC1&quot;/&gt;&lt;wsp:rsid wsp:val=&quot;000A4107&quot;/&gt;&lt;wsp:rsid wsp:val=&quot;000B69F5&quot;/&gt;&lt;wsp:rsid wsp:val=&quot;000C0530&quot;/&gt;&lt;wsp:rsid wsp:val=&quot;000C0CF2&quot;/&gt;&lt;wsp:rsid wsp:val=&quot;000C16E9&quot;/&gt;&lt;wsp:rsid wsp:val=&quot;000C216C&quot;/&gt;&lt;wsp:rsid wsp:val=&quot;000C4E0B&quot;/&gt;&lt;wsp:rsid wsp:val=&quot;000D1560&quot;/&gt;&lt;wsp:rsid wsp:val=&quot;000D24F3&quot;/&gt;&lt;wsp:rsid wsp:val=&quot;000D2DDD&quot;/&gt;&lt;wsp:rsid wsp:val=&quot;000D34E7&quot;/&gt;&lt;wsp:rsid wsp:val=&quot;000D4051&quot;/&gt;&lt;wsp:rsid wsp:val=&quot;000D55A7&quot;/&gt;&lt;wsp:rsid wsp:val=&quot;000E2392&quot;/&gt;&lt;wsp:rsid wsp:val=&quot;000F1D1F&quot;/&gt;&lt;wsp:rsid wsp:val=&quot;00112090&quot;/&gt;&lt;wsp:rsid wsp:val=&quot;00113004&quot;/&gt;&lt;wsp:rsid wsp:val=&quot;0011420A&quot;/&gt;&lt;wsp:rsid wsp:val=&quot;00117965&quot;/&gt;&lt;wsp:rsid wsp:val=&quot;0012042F&quot;/&gt;&lt;wsp:rsid wsp:val=&quot;001219C7&quot;/&gt;&lt;wsp:rsid wsp:val=&quot;00123E02&quot;/&gt;&lt;wsp:rsid wsp:val=&quot;00124DBA&quot;/&gt;&lt;wsp:rsid wsp:val=&quot;0013240F&quot;/&gt;&lt;wsp:rsid wsp:val=&quot;00132FA1&quot;/&gt;&lt;wsp:rsid wsp:val=&quot;00133BFB&quot;/&gt;&lt;wsp:rsid wsp:val=&quot;001453E3&quot;/&gt;&lt;wsp:rsid wsp:val=&quot;0014772D&quot;/&gt;&lt;wsp:rsid wsp:val=&quot;0015066B&quot;/&gt;&lt;wsp:rsid wsp:val=&quot;00151E7E&quot;/&gt;&lt;wsp:rsid wsp:val=&quot;0015666C&quot;/&gt;&lt;wsp:rsid wsp:val=&quot;00161500&quot;/&gt;&lt;wsp:rsid wsp:val=&quot;001634B5&quot;/&gt;&lt;wsp:rsid wsp:val=&quot;0017471C&quot;/&gt;&lt;wsp:rsid wsp:val=&quot;00174E00&quot;/&gt;&lt;wsp:rsid wsp:val=&quot;00176BBA&quot;/&gt;&lt;wsp:rsid wsp:val=&quot;001803FC&quot;/&gt;&lt;wsp:rsid wsp:val=&quot;00185D76&quot;/&gt;&lt;wsp:rsid wsp:val=&quot;00186C87&quot;/&gt;&lt;wsp:rsid wsp:val=&quot;001923F8&quot;/&gt;&lt;wsp:rsid wsp:val=&quot;00195E8A&quot;/&gt;&lt;wsp:rsid wsp:val=&quot;00196A3D&quot;/&gt;&lt;wsp:rsid wsp:val=&quot;001A08AE&quot;/&gt;&lt;wsp:rsid wsp:val=&quot;001A0E23&quot;/&gt;&lt;wsp:rsid wsp:val=&quot;001A1EEF&quot;/&gt;&lt;wsp:rsid wsp:val=&quot;001A40B8&quot;/&gt;&lt;wsp:rsid wsp:val=&quot;001A53EC&quot;/&gt;&lt;wsp:rsid wsp:val=&quot;001A7E73&quot;/&gt;&lt;wsp:rsid wsp:val=&quot;001B2A88&quot;/&gt;&lt;wsp:rsid wsp:val=&quot;001B3507&quot;/&gt;&lt;wsp:rsid wsp:val=&quot;001B3F35&quot;/&gt;&lt;wsp:rsid wsp:val=&quot;001C33E6&quot;/&gt;&lt;wsp:rsid wsp:val=&quot;001C7057&quot;/&gt;&lt;wsp:rsid wsp:val=&quot;001D61A7&quot;/&gt;&lt;wsp:rsid wsp:val=&quot;001D67F8&quot;/&gt;&lt;wsp:rsid wsp:val=&quot;001E6722&quot;/&gt;&lt;wsp:rsid wsp:val=&quot;00202BFD&quot;/&gt;&lt;wsp:rsid wsp:val=&quot;00205796&quot;/&gt;&lt;wsp:rsid wsp:val=&quot;00210702&quot;/&gt;&lt;wsp:rsid wsp:val=&quot;00212418&quot;/&gt;&lt;wsp:rsid wsp:val=&quot;00215C3F&quot;/&gt;&lt;wsp:rsid wsp:val=&quot;00222C39&quot;/&gt;&lt;wsp:rsid wsp:val=&quot;00223630&quot;/&gt;&lt;wsp:rsid wsp:val=&quot;00230DEB&quot;/&gt;&lt;wsp:rsid wsp:val=&quot;00234D5B&quot;/&gt;&lt;wsp:rsid wsp:val=&quot;00242DD7&quot;/&gt;&lt;wsp:rsid wsp:val=&quot;00244938&quot;/&gt;&lt;wsp:rsid wsp:val=&quot;002459F6&quot;/&gt;&lt;wsp:rsid wsp:val=&quot;0024752E&quot;/&gt;&lt;wsp:rsid wsp:val=&quot;00263869&quot;/&gt;&lt;wsp:rsid wsp:val=&quot;0027322B&quot;/&gt;&lt;wsp:rsid wsp:val=&quot;00273E4E&quot;/&gt;&lt;wsp:rsid wsp:val=&quot;002809C3&quot;/&gt;&lt;wsp:rsid wsp:val=&quot;00283A21&quot;/&gt;&lt;wsp:rsid wsp:val=&quot;00285450&quot;/&gt;&lt;wsp:rsid wsp:val=&quot;0028620F&quot;/&gt;&lt;wsp:rsid wsp:val=&quot;00287F2E&quot;/&gt;&lt;wsp:rsid wsp:val=&quot;00290588&quot;/&gt;&lt;wsp:rsid wsp:val=&quot;00290B2F&quot;/&gt;&lt;wsp:rsid wsp:val=&quot;002939C0&quot;/&gt;&lt;wsp:rsid wsp:val=&quot;00294B7C&quot;/&gt;&lt;wsp:rsid wsp:val=&quot;00294D52&quot;/&gt;&lt;wsp:rsid wsp:val=&quot;002A27CF&quot;/&gt;&lt;wsp:rsid wsp:val=&quot;002A2F20&quot;/&gt;&lt;wsp:rsid wsp:val=&quot;002A4BF6&quot;/&gt;&lt;wsp:rsid wsp:val=&quot;002A5C0D&quot;/&gt;&lt;wsp:rsid wsp:val=&quot;002A6E8E&quot;/&gt;&lt;wsp:rsid wsp:val=&quot;002B163F&quot;/&gt;&lt;wsp:rsid wsp:val=&quot;002B1843&quot;/&gt;&lt;wsp:rsid wsp:val=&quot;002B2274&quot;/&gt;&lt;wsp:rsid wsp:val=&quot;002C0831&quot;/&gt;&lt;wsp:rsid wsp:val=&quot;002C4039&quot;/&gt;&lt;wsp:rsid wsp:val=&quot;002D0E4F&quot;/&gt;&lt;wsp:rsid wsp:val=&quot;002D699B&quot;/&gt;&lt;wsp:rsid wsp:val=&quot;002F1B94&quot;/&gt;&lt;wsp:rsid wsp:val=&quot;002F3186&quot;/&gt;&lt;wsp:rsid wsp:val=&quot;002F78ED&quot;/&gt;&lt;wsp:rsid wsp:val=&quot;00302C87&quot;/&gt;&lt;wsp:rsid wsp:val=&quot;00302DA5&quot;/&gt;&lt;wsp:rsid wsp:val=&quot;003076B2&quot;/&gt;&lt;wsp:rsid wsp:val=&quot;00313B86&quot;/&gt;&lt;wsp:rsid wsp:val=&quot;00313FB8&quot;/&gt;&lt;wsp:rsid wsp:val=&quot;0031615C&quot;/&gt;&lt;wsp:rsid wsp:val=&quot;00317440&quot;/&gt;&lt;wsp:rsid wsp:val=&quot;00322B4A&quot;/&gt;&lt;wsp:rsid wsp:val=&quot;00332633&quot;/&gt;&lt;wsp:rsid wsp:val=&quot;003334C6&quot;/&gt;&lt;wsp:rsid wsp:val=&quot;0034203C&quot;/&gt;&lt;wsp:rsid wsp:val=&quot;00346C2A&quot;/&gt;&lt;wsp:rsid wsp:val=&quot;003501E8&quot;/&gt;&lt;wsp:rsid wsp:val=&quot;003512F3&quot;/&gt;&lt;wsp:rsid wsp:val=&quot;00351C99&quot;/&gt;&lt;wsp:rsid wsp:val=&quot;00353ED2&quot;/&gt;&lt;wsp:rsid wsp:val=&quot;0035650F&quot;/&gt;&lt;wsp:rsid wsp:val=&quot;00357567&quot;/&gt;&lt;wsp:rsid wsp:val=&quot;003623A1&quot;/&gt;&lt;wsp:rsid wsp:val=&quot;003633D1&quot;/&gt;&lt;wsp:rsid wsp:val=&quot;00365BCA&quot;/&gt;&lt;wsp:rsid wsp:val=&quot;00372776&quot;/&gt;&lt;wsp:rsid wsp:val=&quot;0037388A&quot;/&gt;&lt;wsp:rsid wsp:val=&quot;00375142&quot;/&gt;&lt;wsp:rsid wsp:val=&quot;00381548&quot;/&gt;&lt;wsp:rsid wsp:val=&quot;003823FD&quot;/&gt;&lt;wsp:rsid wsp:val=&quot;00382F77&quot;/&gt;&lt;wsp:rsid wsp:val=&quot;0038634B&quot;/&gt;&lt;wsp:rsid wsp:val=&quot;00387D5C&quot;/&gt;&lt;wsp:rsid wsp:val=&quot;00391F46&quot;/&gt;&lt;wsp:rsid wsp:val=&quot;003939BE&quot;/&gt;&lt;wsp:rsid wsp:val=&quot;0039509D&quot;/&gt;&lt;wsp:rsid wsp:val=&quot;00396B0E&quot;/&gt;&lt;wsp:rsid wsp:val=&quot;00397559&quot;/&gt;&lt;wsp:rsid wsp:val=&quot;003A0235&quot;/&gt;&lt;wsp:rsid wsp:val=&quot;003A43C6&quot;/&gt;&lt;wsp:rsid wsp:val=&quot;003A6B26&quot;/&gt;&lt;wsp:rsid wsp:val=&quot;003A70C1&quot;/&gt;&lt;wsp:rsid wsp:val=&quot;003A7580&quot;/&gt;&lt;wsp:rsid wsp:val=&quot;003B0827&quot;/&gt;&lt;wsp:rsid wsp:val=&quot;003B2423&quot;/&gt;&lt;wsp:rsid wsp:val=&quot;003B4CCF&quot;/&gt;&lt;wsp:rsid wsp:val=&quot;003B74E9&quot;/&gt;&lt;wsp:rsid wsp:val=&quot;003C00AE&quot;/&gt;&lt;wsp:rsid wsp:val=&quot;003C351E&quot;/&gt;&lt;wsp:rsid wsp:val=&quot;003C57D4&quot;/&gt;&lt;wsp:rsid wsp:val=&quot;003D1527&quot;/&gt;&lt;wsp:rsid wsp:val=&quot;003D701C&quot;/&gt;&lt;wsp:rsid wsp:val=&quot;003E18F7&quot;/&gt;&lt;wsp:rsid wsp:val=&quot;003E2175&quot;/&gt;&lt;wsp:rsid wsp:val=&quot;003F1A94&quot;/&gt;&lt;wsp:rsid wsp:val=&quot;003F3D94&quot;/&gt;&lt;wsp:rsid wsp:val=&quot;003F43EB&quot;/&gt;&lt;wsp:rsid wsp:val=&quot;003F4955&quot;/&gt;&lt;wsp:rsid wsp:val=&quot;003F7337&quot;/&gt;&lt;wsp:rsid wsp:val=&quot;003F7FE8&quot;/&gt;&lt;wsp:rsid wsp:val=&quot;0040115C&quot;/&gt;&lt;wsp:rsid wsp:val=&quot;00401F15&quot;/&gt;&lt;wsp:rsid wsp:val=&quot;0040327D&quot;/&gt;&lt;wsp:rsid wsp:val=&quot;004045A5&quot;/&gt;&lt;wsp:rsid wsp:val=&quot;00417451&quot;/&gt;&lt;wsp:rsid wsp:val=&quot;0042131E&quot;/&gt;&lt;wsp:rsid wsp:val=&quot;00436766&quot;/&gt;&lt;wsp:rsid wsp:val=&quot;0043764F&quot;/&gt;&lt;wsp:rsid wsp:val=&quot;0044406B&quot;/&gt;&lt;wsp:rsid wsp:val=&quot;0044487D&quot;/&gt;&lt;wsp:rsid wsp:val=&quot;00444F4C&quot;/&gt;&lt;wsp:rsid wsp:val=&quot;0045062D&quot;/&gt;&lt;wsp:rsid wsp:val=&quot;00451A36&quot;/&gt;&lt;wsp:rsid wsp:val=&quot;004538FB&quot;/&gt;&lt;wsp:rsid wsp:val=&quot;00455A31&quot;/&gt;&lt;wsp:rsid wsp:val=&quot;00455F8B&quot;/&gt;&lt;wsp:rsid wsp:val=&quot;0047499D&quot;/&gt;&lt;wsp:rsid wsp:val=&quot;00480B42&quot;/&gt;&lt;wsp:rsid wsp:val=&quot;0048537B&quot;/&gt;&lt;wsp:rsid wsp:val=&quot;00493852&quot;/&gt;&lt;wsp:rsid wsp:val=&quot;00494F4B&quot;/&gt;&lt;wsp:rsid wsp:val=&quot;004A0335&quot;/&gt;&lt;wsp:rsid wsp:val=&quot;004A4121&quot;/&gt;&lt;wsp:rsid wsp:val=&quot;004B1B35&quot;/&gt;&lt;wsp:rsid wsp:val=&quot;004B695B&quot;/&gt;&lt;wsp:rsid wsp:val=&quot;004C0F13&quot;/&gt;&lt;wsp:rsid wsp:val=&quot;004C1A6F&quot;/&gt;&lt;wsp:rsid wsp:val=&quot;004C1B86&quot;/&gt;&lt;wsp:rsid wsp:val=&quot;004C2E1E&quot;/&gt;&lt;wsp:rsid wsp:val=&quot;004D29A1&quot;/&gt;&lt;wsp:rsid wsp:val=&quot;004E2F28&quot;/&gt;&lt;wsp:rsid wsp:val=&quot;004E50DE&quot;/&gt;&lt;wsp:rsid wsp:val=&quot;004F23A9&quot;/&gt;&lt;wsp:rsid wsp:val=&quot;004F2E0C&quot;/&gt;&lt;wsp:rsid wsp:val=&quot;00502680&quot;/&gt;&lt;wsp:rsid wsp:val=&quot;0050371C&quot;/&gt;&lt;wsp:rsid wsp:val=&quot;0050492D&quot;/&gt;&lt;wsp:rsid wsp:val=&quot;00507E5F&quot;/&gt;&lt;wsp:rsid wsp:val=&quot;00512C28&quot;/&gt;&lt;wsp:rsid wsp:val=&quot;00512CD3&quot;/&gt;&lt;wsp:rsid wsp:val=&quot;005137BF&quot;/&gt;&lt;wsp:rsid wsp:val=&quot;00514272&quot;/&gt;&lt;wsp:rsid wsp:val=&quot;00516EC8&quot;/&gt;&lt;wsp:rsid wsp:val=&quot;00520507&quot;/&gt;&lt;wsp:rsid wsp:val=&quot;00520C05&quot;/&gt;&lt;wsp:rsid wsp:val=&quot;005277A8&quot;/&gt;&lt;wsp:rsid wsp:val=&quot;005302B1&quot;/&gt;&lt;wsp:rsid wsp:val=&quot;0053775F&quot;/&gt;&lt;wsp:rsid wsp:val=&quot;00537D5F&quot;/&gt;&lt;wsp:rsid wsp:val=&quot;0054038D&quot;/&gt;&lt;wsp:rsid wsp:val=&quot;00541C5E&quot;/&gt;&lt;wsp:rsid wsp:val=&quot;00551399&quot;/&gt;&lt;wsp:rsid wsp:val=&quot;00552A9D&quot;/&gt;&lt;wsp:rsid wsp:val=&quot;0055306B&quot;/&gt;&lt;wsp:rsid wsp:val=&quot;00556588&quot;/&gt;&lt;wsp:rsid wsp:val=&quot;00560827&quot;/&gt;&lt;wsp:rsid wsp:val=&quot;00560C3E&quot;/&gt;&lt;wsp:rsid wsp:val=&quot;0056162B&quot;/&gt;&lt;wsp:rsid wsp:val=&quot;00562C85&quot;/&gt;&lt;wsp:rsid wsp:val=&quot;00562EC8&quot;/&gt;&lt;wsp:rsid wsp:val=&quot;00564A26&quot;/&gt;&lt;wsp:rsid wsp:val=&quot;00565D87&quot;/&gt;&lt;wsp:rsid wsp:val=&quot;00566C81&quot;/&gt;&lt;wsp:rsid wsp:val=&quot;00566F8A&quot;/&gt;&lt;wsp:rsid wsp:val=&quot;005715B8&quot;/&gt;&lt;wsp:rsid wsp:val=&quot;00575718&quot;/&gt;&lt;wsp:rsid wsp:val=&quot;005804D7&quot;/&gt;&lt;wsp:rsid wsp:val=&quot;005826D4&quot;/&gt;&lt;wsp:rsid wsp:val=&quot;00582C02&quot;/&gt;&lt;wsp:rsid wsp:val=&quot;00583F0D&quot;/&gt;&lt;wsp:rsid wsp:val=&quot;00584BEE&quot;/&gt;&lt;wsp:rsid wsp:val=&quot;005904DD&quot;/&gt;&lt;wsp:rsid wsp:val=&quot;005A1120&quot;/&gt;&lt;wsp:rsid wsp:val=&quot;005A49E5&quot;/&gt;&lt;wsp:rsid wsp:val=&quot;005B3006&quot;/&gt;&lt;wsp:rsid wsp:val=&quot;005C4449&quot;/&gt;&lt;wsp:rsid wsp:val=&quot;005D0627&quot;/&gt;&lt;wsp:rsid wsp:val=&quot;005E31CA&quot;/&gt;&lt;wsp:rsid wsp:val=&quot;005E3DD7&quot;/&gt;&lt;wsp:rsid wsp:val=&quot;005E4F36&quot;/&gt;&lt;wsp:rsid wsp:val=&quot;005E51FC&quot;/&gt;&lt;wsp:rsid wsp:val=&quot;005F098D&quot;/&gt;&lt;wsp:rsid wsp:val=&quot;005F697A&quot;/&gt;&lt;wsp:rsid wsp:val=&quot;005F761B&quot;/&gt;&lt;wsp:rsid wsp:val=&quot;00600B18&quot;/&gt;&lt;wsp:rsid wsp:val=&quot;006017DA&quot;/&gt;&lt;wsp:rsid wsp:val=&quot;00602B56&quot;/&gt;&lt;wsp:rsid wsp:val=&quot;00604F13&quot;/&gt;&lt;wsp:rsid wsp:val=&quot;0060510F&quot;/&gt;&lt;wsp:rsid wsp:val=&quot;006065C6&quot;/&gt;&lt;wsp:rsid wsp:val=&quot;00614BA7&quot;/&gt;&lt;wsp:rsid wsp:val=&quot;0061504E&quot;/&gt;&lt;wsp:rsid wsp:val=&quot;006313E5&quot;/&gt;&lt;wsp:rsid wsp:val=&quot;00634FD4&quot;/&gt;&lt;wsp:rsid wsp:val=&quot;00635CB0&quot;/&gt;&lt;wsp:rsid wsp:val=&quot;00636207&quot;/&gt;&lt;wsp:rsid wsp:val=&quot;0063653C&quot;/&gt;&lt;wsp:rsid wsp:val=&quot;00637EE3&quot;/&gt;&lt;wsp:rsid wsp:val=&quot;00637EF4&quot;/&gt;&lt;wsp:rsid wsp:val=&quot;0064072D&quot;/&gt;&lt;wsp:rsid wsp:val=&quot;006429A8&quot;/&gt;&lt;wsp:rsid wsp:val=&quot;006436B6&quot;/&gt;&lt;wsp:rsid wsp:val=&quot;00644E8E&quot;/&gt;&lt;wsp:rsid wsp:val=&quot;006607B3&quot;/&gt;&lt;wsp:rsid wsp:val=&quot;00661E01&quot;/&gt;&lt;wsp:rsid wsp:val=&quot;00666C3A&quot;/&gt;&lt;wsp:rsid wsp:val=&quot;00666E7C&quot;/&gt;&lt;wsp:rsid wsp:val=&quot;00672074&quot;/&gt;&lt;wsp:rsid wsp:val=&quot;00675E1E&quot;/&gt;&lt;wsp:rsid wsp:val=&quot;00681424&quot;/&gt;&lt;wsp:rsid wsp:val=&quot;00683DB8&quot;/&gt;&lt;wsp:rsid wsp:val=&quot;00685035&quot;/&gt;&lt;wsp:rsid wsp:val=&quot;006855FB&quot;/&gt;&lt;wsp:rsid wsp:val=&quot;00687A59&quot;/&gt;&lt;wsp:rsid wsp:val=&quot;00687CA0&quot;/&gt;&lt;wsp:rsid wsp:val=&quot;00692DFA&quot;/&gt;&lt;wsp:rsid wsp:val=&quot;00694810&quot;/&gt;&lt;wsp:rsid wsp:val=&quot;006978F2&quot;/&gt;&lt;wsp:rsid wsp:val=&quot;006B03C5&quot;/&gt;&lt;wsp:rsid wsp:val=&quot;006B09DF&quot;/&gt;&lt;wsp:rsid wsp:val=&quot;006B1875&quot;/&gt;&lt;wsp:rsid wsp:val=&quot;006C0312&quot;/&gt;&lt;wsp:rsid wsp:val=&quot;006C1963&quot;/&gt;&lt;wsp:rsid wsp:val=&quot;006C23AF&quot;/&gt;&lt;wsp:rsid wsp:val=&quot;006C263C&quot;/&gt;&lt;wsp:rsid wsp:val=&quot;006C280E&quot;/&gt;&lt;wsp:rsid wsp:val=&quot;006C3B88&quot;/&gt;&lt;wsp:rsid wsp:val=&quot;006C3E14&quot;/&gt;&lt;wsp:rsid wsp:val=&quot;006C72D0&quot;/&gt;&lt;wsp:rsid wsp:val=&quot;006D18BE&quot;/&gt;&lt;wsp:rsid wsp:val=&quot;006D2C5A&quot;/&gt;&lt;wsp:rsid wsp:val=&quot;006D4A42&quot;/&gt;&lt;wsp:rsid wsp:val=&quot;006D69DE&quot;/&gt;&lt;wsp:rsid wsp:val=&quot;007004BB&quot;/&gt;&lt;wsp:rsid wsp:val=&quot;0071051D&quot;/&gt;&lt;wsp:rsid wsp:val=&quot;00711724&quot;/&gt;&lt;wsp:rsid wsp:val=&quot;0071732D&quot;/&gt;&lt;wsp:rsid wsp:val=&quot;00717C28&quot;/&gt;&lt;wsp:rsid wsp:val=&quot;007326AF&quot;/&gt;&lt;wsp:rsid wsp:val=&quot;00733FF0&quot;/&gt;&lt;wsp:rsid wsp:val=&quot;00737D00&quot;/&gt;&lt;wsp:rsid wsp:val=&quot;00741177&quot;/&gt;&lt;wsp:rsid wsp:val=&quot;00747685&quot;/&gt;&lt;wsp:rsid wsp:val=&quot;00747899&quot;/&gt;&lt;wsp:rsid wsp:val=&quot;00751DE9&quot;/&gt;&lt;wsp:rsid wsp:val=&quot;0075375F&quot;/&gt;&lt;wsp:rsid wsp:val=&quot;007566C8&quot;/&gt;&lt;wsp:rsid wsp:val=&quot;00757407&quot;/&gt;&lt;wsp:rsid wsp:val=&quot;00760339&quot;/&gt;&lt;wsp:rsid wsp:val=&quot;007707F1&quot;/&gt;&lt;wsp:rsid wsp:val=&quot;007770DC&quot;/&gt;&lt;wsp:rsid wsp:val=&quot;00784A1B&quot;/&gt;&lt;wsp:rsid wsp:val=&quot;00797E74&quot;/&gt;&lt;wsp:rsid wsp:val=&quot;007A07DE&quot;/&gt;&lt;wsp:rsid wsp:val=&quot;007A1633&quot;/&gt;&lt;wsp:rsid wsp:val=&quot;007A50E7&quot;/&gt;&lt;wsp:rsid wsp:val=&quot;007C15AB&quot;/&gt;&lt;wsp:rsid wsp:val=&quot;007D1FC4&quot;/&gt;&lt;wsp:rsid wsp:val=&quot;007D632A&quot;/&gt;&lt;wsp:rsid wsp:val=&quot;007D72E8&quot;/&gt;&lt;wsp:rsid wsp:val=&quot;007D7970&quot;/&gt;&lt;wsp:rsid wsp:val=&quot;007E08B7&quot;/&gt;&lt;wsp:rsid wsp:val=&quot;007F0FDA&quot;/&gt;&lt;wsp:rsid wsp:val=&quot;007F15C4&quot;/&gt;&lt;wsp:rsid wsp:val=&quot;007F3490&quot;/&gt;&lt;wsp:rsid wsp:val=&quot;007F65ED&quot;/&gt;&lt;wsp:rsid wsp:val=&quot;008002DA&quot;/&gt;&lt;wsp:rsid wsp:val=&quot;0080194B&quot;/&gt;&lt;wsp:rsid wsp:val=&quot;008057FE&quot;/&gt;&lt;wsp:rsid wsp:val=&quot;008062ED&quot;/&gt;&lt;wsp:rsid wsp:val=&quot;00810DA9&quot;/&gt;&lt;wsp:rsid wsp:val=&quot;00812495&quot;/&gt;&lt;wsp:rsid wsp:val=&quot;008146C8&quot;/&gt;&lt;wsp:rsid wsp:val=&quot;008161A9&quot;/&gt;&lt;wsp:rsid wsp:val=&quot;00816CF9&quot;/&gt;&lt;wsp:rsid wsp:val=&quot;008244EB&quot;/&gt;&lt;wsp:rsid wsp:val=&quot;00825E94&quot;/&gt;&lt;wsp:rsid wsp:val=&quot;00826151&quot;/&gt;&lt;wsp:rsid wsp:val=&quot;0083045C&quot;/&gt;&lt;wsp:rsid wsp:val=&quot;00835342&quot;/&gt;&lt;wsp:rsid wsp:val=&quot;008372FC&quot;/&gt;&lt;wsp:rsid wsp:val=&quot;008400DB&quot;/&gt;&lt;wsp:rsid wsp:val=&quot;00846CAB&quot;/&gt;&lt;wsp:rsid wsp:val=&quot;008506B4&quot;/&gt;&lt;wsp:rsid wsp:val=&quot;00862556&quot;/&gt;&lt;wsp:rsid wsp:val=&quot;0086546E&quot;/&gt;&lt;wsp:rsid wsp:val=&quot;00867830&quot;/&gt;&lt;wsp:rsid wsp:val=&quot;00867C71&quot;/&gt;&lt;wsp:rsid wsp:val=&quot;0087101D&quot;/&gt;&lt;wsp:rsid wsp:val=&quot;008717B5&quot;/&gt;&lt;wsp:rsid wsp:val=&quot;00875AC6&quot;/&gt;&lt;wsp:rsid wsp:val=&quot;008864DB&quot;/&gt;&lt;wsp:rsid wsp:val=&quot;00897392&quot;/&gt;&lt;wsp:rsid wsp:val=&quot;008A04E7&quot;/&gt;&lt;wsp:rsid wsp:val=&quot;008A41C4&quot;/&gt;&lt;wsp:rsid wsp:val=&quot;008B03F4&quot;/&gt;&lt;wsp:rsid wsp:val=&quot;008B2DF3&quot;/&gt;&lt;wsp:rsid wsp:val=&quot;008B3DD4&quot;/&gt;&lt;wsp:rsid wsp:val=&quot;008B76FC&quot;/&gt;&lt;wsp:rsid wsp:val=&quot;008C1A03&quot;/&gt;&lt;wsp:rsid wsp:val=&quot;008D520C&quot;/&gt;&lt;wsp:rsid wsp:val=&quot;008D6EBF&quot;/&gt;&lt;wsp:rsid wsp:val=&quot;008E0CE8&quot;/&gt;&lt;wsp:rsid wsp:val=&quot;008E0F4D&quot;/&gt;&lt;wsp:rsid wsp:val=&quot;008E5D22&quot;/&gt;&lt;wsp:rsid wsp:val=&quot;008E6461&quot;/&gt;&lt;wsp:rsid wsp:val=&quot;008E7304&quot;/&gt;&lt;wsp:rsid wsp:val=&quot;008E7DA6&quot;/&gt;&lt;wsp:rsid wsp:val=&quot;008E7EFA&quot;/&gt;&lt;wsp:rsid wsp:val=&quot;008F2209&quot;/&gt;&lt;wsp:rsid wsp:val=&quot;008F2E65&quot;/&gt;&lt;wsp:rsid wsp:val=&quot;008F3049&quot;/&gt;&lt;wsp:rsid wsp:val=&quot;008F3808&quot;/&gt;&lt;wsp:rsid wsp:val=&quot;008F6C55&quot;/&gt;&lt;wsp:rsid wsp:val=&quot;00904F89&quot;/&gt;&lt;wsp:rsid wsp:val=&quot;0091040A&quot;/&gt;&lt;wsp:rsid wsp:val=&quot;00917CB2&quot;/&gt;&lt;wsp:rsid wsp:val=&quot;00923718&quot;/&gt;&lt;wsp:rsid wsp:val=&quot;00925055&quot;/&gt;&lt;wsp:rsid wsp:val=&quot;00927561&quot;/&gt;&lt;wsp:rsid wsp:val=&quot;009323A2&quot;/&gt;&lt;wsp:rsid wsp:val=&quot;00932CB9&quot;/&gt;&lt;wsp:rsid wsp:val=&quot;00936573&quot;/&gt;&lt;wsp:rsid wsp:val=&quot;00944258&quot;/&gt;&lt;wsp:rsid wsp:val=&quot;00953CF5&quot;/&gt;&lt;wsp:rsid wsp:val=&quot;0095447C&quot;/&gt;&lt;wsp:rsid wsp:val=&quot;0095579F&quot;/&gt;&lt;wsp:rsid wsp:val=&quot;009577FB&quot;/&gt;&lt;wsp:rsid wsp:val=&quot;00962E89&quot;/&gt;&lt;wsp:rsid wsp:val=&quot;0096362A&quot;/&gt;&lt;wsp:rsid wsp:val=&quot;00965094&quot;/&gt;&lt;wsp:rsid wsp:val=&quot;00971EA1&quot;/&gt;&lt;wsp:rsid wsp:val=&quot;00973939&quot;/&gt;&lt;wsp:rsid wsp:val=&quot;0097591B&quot;/&gt;&lt;wsp:rsid wsp:val=&quot;00991EE5&quot;/&gt;&lt;wsp:rsid wsp:val=&quot;0099450D&quot;/&gt;&lt;wsp:rsid wsp:val=&quot;009A0A73&quot;/&gt;&lt;wsp:rsid wsp:val=&quot;009B592E&quot;/&gt;&lt;wsp:rsid wsp:val=&quot;009B5F29&quot;/&gt;&lt;wsp:rsid wsp:val=&quot;009C0ACA&quot;/&gt;&lt;wsp:rsid wsp:val=&quot;009C6976&quot;/&gt;&lt;wsp:rsid wsp:val=&quot;009C7AF5&quot;/&gt;&lt;wsp:rsid wsp:val=&quot;009D016C&quot;/&gt;&lt;wsp:rsid wsp:val=&quot;009D1EAA&quot;/&gt;&lt;wsp:rsid wsp:val=&quot;009D2443&quot;/&gt;&lt;wsp:rsid wsp:val=&quot;009D3E8C&quot;/&gt;&lt;wsp:rsid wsp:val=&quot;009D551C&quot;/&gt;&lt;wsp:rsid wsp:val=&quot;009D7043&quot;/&gt;&lt;wsp:rsid wsp:val=&quot;009E26FC&quot;/&gt;&lt;wsp:rsid wsp:val=&quot;009E2B7A&quot;/&gt;&lt;wsp:rsid wsp:val=&quot;009E570E&quot;/&gt;&lt;wsp:rsid wsp:val=&quot;009E5B75&quot;/&gt;&lt;wsp:rsid wsp:val=&quot;009E7FD3&quot;/&gt;&lt;wsp:rsid wsp:val=&quot;009F0C7B&quot;/&gt;&lt;wsp:rsid wsp:val=&quot;009F1189&quot;/&gt;&lt;wsp:rsid wsp:val=&quot;009F19C6&quot;/&gt;&lt;wsp:rsid wsp:val=&quot;009F5CF0&quot;/&gt;&lt;wsp:rsid wsp:val=&quot;00A14746&quot;/&gt;&lt;wsp:rsid wsp:val=&quot;00A218DF&quot;/&gt;&lt;wsp:rsid wsp:val=&quot;00A22019&quot;/&gt;&lt;wsp:rsid wsp:val=&quot;00A22163&quot;/&gt;&lt;wsp:rsid wsp:val=&quot;00A2626D&quot;/&gt;&lt;wsp:rsid wsp:val=&quot;00A308E1&quot;/&gt;&lt;wsp:rsid wsp:val=&quot;00A30F72&quot;/&gt;&lt;wsp:rsid wsp:val=&quot;00A34D24&quot;/&gt;&lt;wsp:rsid wsp:val=&quot;00A43EE2&quot;/&gt;&lt;wsp:rsid wsp:val=&quot;00A4546B&quot;/&gt;&lt;wsp:rsid wsp:val=&quot;00A56258&quot;/&gt;&lt;wsp:rsid wsp:val=&quot;00A575ED&quot;/&gt;&lt;wsp:rsid wsp:val=&quot;00A65BED&quot;/&gt;&lt;wsp:rsid wsp:val=&quot;00A66833&quot;/&gt;&lt;wsp:rsid wsp:val=&quot;00A75F92&quot;/&gt;&lt;wsp:rsid wsp:val=&quot;00A77EAA&quot;/&gt;&lt;wsp:rsid wsp:val=&quot;00A81ABF&quot;/&gt;&lt;wsp:rsid wsp:val=&quot;00A829C7&quot;/&gt;&lt;wsp:rsid wsp:val=&quot;00A83296&quot;/&gt;&lt;wsp:rsid wsp:val=&quot;00A877E1&quot;/&gt;&lt;wsp:rsid wsp:val=&quot;00A9020D&quot;/&gt;&lt;wsp:rsid wsp:val=&quot;00A95396&quot;/&gt;&lt;wsp:rsid wsp:val=&quot;00A95508&quot;/&gt;&lt;wsp:rsid wsp:val=&quot;00A977A7&quot;/&gt;&lt;wsp:rsid wsp:val=&quot;00AA026B&quot;/&gt;&lt;wsp:rsid wsp:val=&quot;00AA6DFE&quot;/&gt;&lt;wsp:rsid wsp:val=&quot;00AB03E0&quot;/&gt;&lt;wsp:rsid wsp:val=&quot;00AB0688&quot;/&gt;&lt;wsp:rsid wsp:val=&quot;00AB0DFD&quot;/&gt;&lt;wsp:rsid wsp:val=&quot;00AB0F5F&quot;/&gt;&lt;wsp:rsid wsp:val=&quot;00AB1416&quot;/&gt;&lt;wsp:rsid wsp:val=&quot;00AB25E6&quot;/&gt;&lt;wsp:rsid wsp:val=&quot;00AC00DA&quot;/&gt;&lt;wsp:rsid wsp:val=&quot;00AC4F1D&quot;/&gt;&lt;wsp:rsid wsp:val=&quot;00AC6A1E&quot;/&gt;&lt;wsp:rsid wsp:val=&quot;00AC6D51&quot;/&gt;&lt;wsp:rsid wsp:val=&quot;00AD20AE&quot;/&gt;&lt;wsp:rsid wsp:val=&quot;00AD6F21&quot;/&gt;&lt;wsp:rsid wsp:val=&quot;00AE07FE&quot;/&gt;&lt;wsp:rsid wsp:val=&quot;00AE23C4&quot;/&gt;&lt;wsp:rsid wsp:val=&quot;00AE30BC&quot;/&gt;&lt;wsp:rsid wsp:val=&quot;00AE4EBE&quot;/&gt;&lt;wsp:rsid wsp:val=&quot;00AF2DD3&quot;/&gt;&lt;wsp:rsid wsp:val=&quot;00AF3D31&quot;/&gt;&lt;wsp:rsid wsp:val=&quot;00B11B73&quot;/&gt;&lt;wsp:rsid wsp:val=&quot;00B21E1E&quot;/&gt;&lt;wsp:rsid wsp:val=&quot;00B22238&quot;/&gt;&lt;wsp:rsid wsp:val=&quot;00B231EC&quot;/&gt;&lt;wsp:rsid wsp:val=&quot;00B25173&quot;/&gt;&lt;wsp:rsid wsp:val=&quot;00B35F38&quot;/&gt;&lt;wsp:rsid wsp:val=&quot;00B50FAB&quot;/&gt;&lt;wsp:rsid wsp:val=&quot;00B512D2&quot;/&gt;&lt;wsp:rsid wsp:val=&quot;00B57AF9&quot;/&gt;&lt;wsp:rsid wsp:val=&quot;00B605C6&quot;/&gt;&lt;wsp:rsid wsp:val=&quot;00B609C6&quot;/&gt;&lt;wsp:rsid wsp:val=&quot;00B612D6&quot;/&gt;&lt;wsp:rsid wsp:val=&quot;00B64DF3&quot;/&gt;&lt;wsp:rsid wsp:val=&quot;00B654DA&quot;/&gt;&lt;wsp:rsid wsp:val=&quot;00B777B8&quot;/&gt;&lt;wsp:rsid wsp:val=&quot;00B77D30&quot;/&gt;&lt;wsp:rsid wsp:val=&quot;00B84E5F&quot;/&gt;&lt;wsp:rsid wsp:val=&quot;00B8517D&quot;/&gt;&lt;wsp:rsid wsp:val=&quot;00B901A2&quot;/&gt;&lt;wsp:rsid wsp:val=&quot;00B90E3F&quot;/&gt;&lt;wsp:rsid wsp:val=&quot;00B92400&quot;/&gt;&lt;wsp:rsid wsp:val=&quot;00B930D3&quot;/&gt;&lt;wsp:rsid wsp:val=&quot;00B9573F&quot;/&gt;&lt;wsp:rsid wsp:val=&quot;00B95900&quot;/&gt;&lt;wsp:rsid wsp:val=&quot;00B96265&quot;/&gt;&lt;wsp:rsid wsp:val=&quot;00BA11C4&quot;/&gt;&lt;wsp:rsid wsp:val=&quot;00BB4B8A&quot;/&gt;&lt;wsp:rsid wsp:val=&quot;00BB50C3&quot;/&gt;&lt;wsp:rsid wsp:val=&quot;00BB5CB8&quot;/&gt;&lt;wsp:rsid wsp:val=&quot;00BB62F2&quot;/&gt;&lt;wsp:rsid wsp:val=&quot;00BC61E3&quot;/&gt;&lt;wsp:rsid wsp:val=&quot;00BC66E7&quot;/&gt;&lt;wsp:rsid wsp:val=&quot;00BC7972&quot;/&gt;&lt;wsp:rsid wsp:val=&quot;00BD683C&quot;/&gt;&lt;wsp:rsid wsp:val=&quot;00BD7E57&quot;/&gt;&lt;wsp:rsid wsp:val=&quot;00BE2915&quot;/&gt;&lt;wsp:rsid wsp:val=&quot;00BF081B&quot;/&gt;&lt;wsp:rsid wsp:val=&quot;00BF5E3C&quot;/&gt;&lt;wsp:rsid wsp:val=&quot;00C043A7&quot;/&gt;&lt;wsp:rsid wsp:val=&quot;00C06270&quot;/&gt;&lt;wsp:rsid wsp:val=&quot;00C06E62&quot;/&gt;&lt;wsp:rsid wsp:val=&quot;00C0717D&quot;/&gt;&lt;wsp:rsid wsp:val=&quot;00C11071&quot;/&gt;&lt;wsp:rsid wsp:val=&quot;00C14A3E&quot;/&gt;&lt;wsp:rsid wsp:val=&quot;00C14A5F&quot;/&gt;&lt;wsp:rsid wsp:val=&quot;00C14F54&quot;/&gt;&lt;wsp:rsid wsp:val=&quot;00C172E6&quot;/&gt;&lt;wsp:rsid wsp:val=&quot;00C1780F&quot;/&gt;&lt;wsp:rsid wsp:val=&quot;00C22BCB&quot;/&gt;&lt;wsp:rsid wsp:val=&quot;00C24375&quot;/&gt;&lt;wsp:rsid wsp:val=&quot;00C323A1&quot;/&gt;&lt;wsp:rsid wsp:val=&quot;00C36F0A&quot;/&gt;&lt;wsp:rsid wsp:val=&quot;00C403F4&quot;/&gt;&lt;wsp:rsid wsp:val=&quot;00C41448&quot;/&gt;&lt;wsp:rsid wsp:val=&quot;00C41E2A&quot;/&gt;&lt;wsp:rsid wsp:val=&quot;00C4410D&quot;/&gt;&lt;wsp:rsid wsp:val=&quot;00C441D1&quot;/&gt;&lt;wsp:rsid wsp:val=&quot;00C61CFD&quot;/&gt;&lt;wsp:rsid wsp:val=&quot;00C64086&quot;/&gt;&lt;wsp:rsid wsp:val=&quot;00C64B38&quot;/&gt;&lt;wsp:rsid wsp:val=&quot;00C657EF&quot;/&gt;&lt;wsp:rsid wsp:val=&quot;00C66C9B&quot;/&gt;&lt;wsp:rsid wsp:val=&quot;00C677E5&quot;/&gt;&lt;wsp:rsid wsp:val=&quot;00C74512&quot;/&gt;&lt;wsp:rsid wsp:val=&quot;00C7559B&quot;/&gt;&lt;wsp:rsid wsp:val=&quot;00C7610F&quot;/&gt;&lt;wsp:rsid wsp:val=&quot;00C76FCF&quot;/&gt;&lt;wsp:rsid wsp:val=&quot;00C801C3&quot;/&gt;&lt;wsp:rsid wsp:val=&quot;00C81C0B&quot;/&gt;&lt;wsp:rsid wsp:val=&quot;00C84EC7&quot;/&gt;&lt;wsp:rsid wsp:val=&quot;00C85E99&quot;/&gt;&lt;wsp:rsid wsp:val=&quot;00C860D3&quot;/&gt;&lt;wsp:rsid wsp:val=&quot;00C927B9&quot;/&gt;&lt;wsp:rsid wsp:val=&quot;00C95B30&quot;/&gt;&lt;wsp:rsid wsp:val=&quot;00C95DCC&quot;/&gt;&lt;wsp:rsid wsp:val=&quot;00CA107B&quot;/&gt;&lt;wsp:rsid wsp:val=&quot;00CA489D&quot;/&gt;&lt;wsp:rsid wsp:val=&quot;00CB0AEE&quot;/&gt;&lt;wsp:rsid wsp:val=&quot;00CB2840&quot;/&gt;&lt;wsp:rsid wsp:val=&quot;00CB387E&quot;/&gt;&lt;wsp:rsid wsp:val=&quot;00CB3A39&quot;/&gt;&lt;wsp:rsid wsp:val=&quot;00CB7319&quot;/&gt;&lt;wsp:rsid wsp:val=&quot;00CC5078&quot;/&gt;&lt;wsp:rsid wsp:val=&quot;00CD3CE7&quot;/&gt;&lt;wsp:rsid wsp:val=&quot;00CD556D&quot;/&gt;&lt;wsp:rsid wsp:val=&quot;00CD62D8&quot;/&gt;&lt;wsp:rsid wsp:val=&quot;00CE48E5&quot;/&gt;&lt;wsp:rsid wsp:val=&quot;00CE4B97&quot;/&gt;&lt;wsp:rsid wsp:val=&quot;00CF6A0F&quot;/&gt;&lt;wsp:rsid wsp:val=&quot;00D00A58&quot;/&gt;&lt;wsp:rsid wsp:val=&quot;00D01FF0&quot;/&gt;&lt;wsp:rsid wsp:val=&quot;00D05FC7&quot;/&gt;&lt;wsp:rsid wsp:val=&quot;00D13BBC&quot;/&gt;&lt;wsp:rsid wsp:val=&quot;00D14B4C&quot;/&gt;&lt;wsp:rsid wsp:val=&quot;00D22608&quot;/&gt;&lt;wsp:rsid wsp:val=&quot;00D247E1&quot;/&gt;&lt;wsp:rsid wsp:val=&quot;00D33671&quot;/&gt;&lt;wsp:rsid wsp:val=&quot;00D3373F&quot;/&gt;&lt;wsp:rsid wsp:val=&quot;00D3427E&quot;/&gt;&lt;wsp:rsid wsp:val=&quot;00D40AF4&quot;/&gt;&lt;wsp:rsid wsp:val=&quot;00D46400&quot;/&gt;&lt;wsp:rsid wsp:val=&quot;00D53BCA&quot;/&gt;&lt;wsp:rsid wsp:val=&quot;00D54A0F&quot;/&gt;&lt;wsp:rsid wsp:val=&quot;00D57EA5&quot;/&gt;&lt;wsp:rsid wsp:val=&quot;00D611B2&quot;/&gt;&lt;wsp:rsid wsp:val=&quot;00D62049&quot;/&gt;&lt;wsp:rsid wsp:val=&quot;00D67C9A&quot;/&gt;&lt;wsp:rsid wsp:val=&quot;00D71EA0&quot;/&gt;&lt;wsp:rsid wsp:val=&quot;00D80DA0&quot;/&gt;&lt;wsp:rsid wsp:val=&quot;00D80FDD&quot;/&gt;&lt;wsp:rsid wsp:val=&quot;00D836A5&quot;/&gt;&lt;wsp:rsid wsp:val=&quot;00D84787&quot;/&gt;&lt;wsp:rsid wsp:val=&quot;00D90686&quot;/&gt;&lt;wsp:rsid wsp:val=&quot;00DA2ECB&quot;/&gt;&lt;wsp:rsid wsp:val=&quot;00DA4B5B&quot;/&gt;&lt;wsp:rsid wsp:val=&quot;00DA5617&quot;/&gt;&lt;wsp:rsid wsp:val=&quot;00DA594A&quot;/&gt;&lt;wsp:rsid wsp:val=&quot;00DB1020&quot;/&gt;&lt;wsp:rsid wsp:val=&quot;00DB6375&quot;/&gt;&lt;wsp:rsid wsp:val=&quot;00DC34C5&quot;/&gt;&lt;wsp:rsid wsp:val=&quot;00DD2C1B&quot;/&gt;&lt;wsp:rsid wsp:val=&quot;00DD43EB&quot;/&gt;&lt;wsp:rsid wsp:val=&quot;00DD78DE&quot;/&gt;&lt;wsp:rsid wsp:val=&quot;00DD79D0&quot;/&gt;&lt;wsp:rsid wsp:val=&quot;00DE342C&quot;/&gt;&lt;wsp:rsid wsp:val=&quot;00DE6D77&quot;/&gt;&lt;wsp:rsid wsp:val=&quot;00DE7D69&quot;/&gt;&lt;wsp:rsid wsp:val=&quot;00DF4C26&quot;/&gt;&lt;wsp:rsid wsp:val=&quot;00DF5292&quot;/&gt;&lt;wsp:rsid wsp:val=&quot;00DF5D21&quot;/&gt;&lt;wsp:rsid wsp:val=&quot;00DF7F6F&quot;/&gt;&lt;wsp:rsid wsp:val=&quot;00E04BA7&quot;/&gt;&lt;wsp:rsid wsp:val=&quot;00E10C5B&quot;/&gt;&lt;wsp:rsid wsp:val=&quot;00E122B2&quot;/&gt;&lt;wsp:rsid wsp:val=&quot;00E12541&quot;/&gt;&lt;wsp:rsid wsp:val=&quot;00E2068E&quot;/&gt;&lt;wsp:rsid wsp:val=&quot;00E22932&quot;/&gt;&lt;wsp:rsid wsp:val=&quot;00E24DFA&quot;/&gt;&lt;wsp:rsid wsp:val=&quot;00E30BCB&quot;/&gt;&lt;wsp:rsid wsp:val=&quot;00E31EBC&quot;/&gt;&lt;wsp:rsid wsp:val=&quot;00E34D79&quot;/&gt;&lt;wsp:rsid wsp:val=&quot;00E3544E&quot;/&gt;&lt;wsp:rsid wsp:val=&quot;00E43CCF&quot;/&gt;&lt;wsp:rsid wsp:val=&quot;00E46AE0&quot;/&gt;&lt;wsp:rsid wsp:val=&quot;00E4753D&quot;/&gt;&lt;wsp:rsid wsp:val=&quot;00E51052&quot;/&gt;&lt;wsp:rsid wsp:val=&quot;00E8416C&quot;/&gt;&lt;wsp:rsid wsp:val=&quot;00E8779F&quot;/&gt;&lt;wsp:rsid wsp:val=&quot;00E9433C&quot;/&gt;&lt;wsp:rsid wsp:val=&quot;00E96421&quot;/&gt;&lt;wsp:rsid wsp:val=&quot;00EA123F&quot;/&gt;&lt;wsp:rsid wsp:val=&quot;00EA310E&quot;/&gt;&lt;wsp:rsid wsp:val=&quot;00EB02FB&quot;/&gt;&lt;wsp:rsid wsp:val=&quot;00EB41F6&quot;/&gt;&lt;wsp:rsid wsp:val=&quot;00EB77C9&quot;/&gt;&lt;wsp:rsid wsp:val=&quot;00EC09C7&quot;/&gt;&lt;wsp:rsid wsp:val=&quot;00EC61DF&quot;/&gt;&lt;wsp:rsid wsp:val=&quot;00ED598F&quot;/&gt;&lt;wsp:rsid wsp:val=&quot;00ED642F&quot;/&gt;&lt;wsp:rsid wsp:val=&quot;00ED73F0&quot;/&gt;&lt;wsp:rsid wsp:val=&quot;00EE3B6F&quot;/&gt;&lt;wsp:rsid wsp:val=&quot;00EF02A0&quot;/&gt;&lt;wsp:rsid wsp:val=&quot;00EF2E70&quot;/&gt;&lt;wsp:rsid wsp:val=&quot;00EF30D1&quot;/&gt;&lt;wsp:rsid wsp:val=&quot;00EF60C5&quot;/&gt;&lt;wsp:rsid wsp:val=&quot;00EF7BD7&quot;/&gt;&lt;wsp:rsid wsp:val=&quot;00F021C7&quot;/&gt;&lt;wsp:rsid wsp:val=&quot;00F05369&quot;/&gt;&lt;wsp:rsid wsp:val=&quot;00F05CDC&quot;/&gt;&lt;wsp:rsid wsp:val=&quot;00F07B3F&quot;/&gt;&lt;wsp:rsid wsp:val=&quot;00F14272&quot;/&gt;&lt;wsp:rsid wsp:val=&quot;00F1562A&quot;/&gt;&lt;wsp:rsid wsp:val=&quot;00F1700F&quot;/&gt;&lt;wsp:rsid wsp:val=&quot;00F223E2&quot;/&gt;&lt;wsp:rsid wsp:val=&quot;00F22AB5&quot;/&gt;&lt;wsp:rsid wsp:val=&quot;00F24C99&quot;/&gt;&lt;wsp:rsid wsp:val=&quot;00F2648B&quot;/&gt;&lt;wsp:rsid wsp:val=&quot;00F3179B&quot;/&gt;&lt;wsp:rsid wsp:val=&quot;00F33C6F&quot;/&gt;&lt;wsp:rsid wsp:val=&quot;00F422DD&quot;/&gt;&lt;wsp:rsid wsp:val=&quot;00F51194&quot;/&gt;&lt;wsp:rsid wsp:val=&quot;00F576DD&quot;/&gt;&lt;wsp:rsid wsp:val=&quot;00F74FB9&quot;/&gt;&lt;wsp:rsid wsp:val=&quot;00F8165B&quot;/&gt;&lt;wsp:rsid wsp:val=&quot;00F81C80&quot;/&gt;&lt;wsp:rsid wsp:val=&quot;00F844D9&quot;/&gt;&lt;wsp:rsid wsp:val=&quot;00F8717D&quot;/&gt;&lt;wsp:rsid wsp:val=&quot;00F8763F&quot;/&gt;&lt;wsp:rsid wsp:val=&quot;00F87C09&quot;/&gt;&lt;wsp:rsid wsp:val=&quot;00FA02B4&quot;/&gt;&lt;wsp:rsid wsp:val=&quot;00FA1293&quot;/&gt;&lt;wsp:rsid wsp:val=&quot;00FA2B9C&quot;/&gt;&lt;wsp:rsid wsp:val=&quot;00FA3679&quot;/&gt;&lt;wsp:rsid wsp:val=&quot;00FB301B&quot;/&gt;&lt;wsp:rsid wsp:val=&quot;00FB325D&quot;/&gt;&lt;wsp:rsid wsp:val=&quot;00FB33FD&quot;/&gt;&lt;wsp:rsid wsp:val=&quot;00FB48EE&quot;/&gt;&lt;wsp:rsid wsp:val=&quot;00FB4C2A&quot;/&gt;&lt;wsp:rsid wsp:val=&quot;00FB59B2&quot;/&gt;&lt;wsp:rsid wsp:val=&quot;00FB6B54&quot;/&gt;&lt;wsp:rsid wsp:val=&quot;00FB7DDD&quot;/&gt;&lt;wsp:rsid wsp:val=&quot;00FC2294&quot;/&gt;&lt;wsp:rsid wsp:val=&quot;00FC4A81&quot;/&gt;&lt;wsp:rsid wsp:val=&quot;00FC5C50&quot;/&gt;&lt;wsp:rsid wsp:val=&quot;00FC7751&quot;/&gt;&lt;wsp:rsid wsp:val=&quot;00FD43E0&quot;/&gt;&lt;wsp:rsid wsp:val=&quot;00FD7825&quot;/&gt;&lt;wsp:rsid wsp:val=&quot;00FE52AF&quot;/&gt;&lt;wsp:rsid wsp:val=&quot;00FF22A0&quot;/&gt;&lt;wsp:rsid wsp:val=&quot;00FF6828&quot;/&gt;&lt;/wsp:rsids&gt;&lt;/w:docPr&gt;&lt;w:body&gt;&lt;w:p wsp:rsidR=&quot;00000000&quot; wsp:rsidRDefault=&quot;00AA6DFE&quot;&gt;&lt;m:oMathPara&gt;&lt;m:oMath&gt;&lt;m:r&gt;&lt;w:rPr&gt;&lt;w:rFonts w:ascii=&quot;Cambria Math&quot; w:h-ansi=&quot;Cambria Math&quot; w:cs=&quot;Calibri&quot;/&gt;&lt;wx:font wx:val=&quot;Cambria Math&quot;/&gt;&lt;w:i/&gt;&lt;w:color w:val=&quot;17365D&quot;/&gt;&lt;w:sz w:val=&quot;20&quot;/&gt;&lt;/w:rPr&gt;&lt;m:t&gt;Â &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7" o:title="" chromakey="white"/>
          </v:shape>
        </w:pict>
      </w:r>
      <w:r w:rsidRPr="00F4779C">
        <w:rPr>
          <w:rFonts w:ascii="Verdana" w:hAnsi="Verdana" w:cs="Arial"/>
          <w:color w:val="4C4E53"/>
          <w:sz w:val="16"/>
          <w:szCs w:val="16"/>
        </w:rPr>
        <w:t>VIDELIO - HMS reste propriétaire des fonds de commerce « Cruise » et « Yachting ».</w:t>
      </w:r>
    </w:p>
    <w:p w:rsidR="00850A44" w:rsidRPr="00F4779C" w:rsidRDefault="00850A44" w:rsidP="004942B7">
      <w:pPr>
        <w:spacing w:line="240" w:lineRule="auto"/>
        <w:rPr>
          <w:rFonts w:ascii="Verdana" w:hAnsi="Verdana" w:cs="Arial"/>
          <w:color w:val="4C4E53"/>
          <w:sz w:val="16"/>
          <w:szCs w:val="16"/>
        </w:rPr>
      </w:pPr>
    </w:p>
    <w:p w:rsidR="00850A44" w:rsidRPr="00F4779C" w:rsidRDefault="00850A44" w:rsidP="004942B7">
      <w:pPr>
        <w:pStyle w:val="Formatlibre"/>
        <w:tabs>
          <w:tab w:val="left" w:pos="2480"/>
        </w:tabs>
        <w:ind w:left="960"/>
        <w:rPr>
          <w:rFonts w:ascii="Verdana" w:hAnsi="Verdana" w:cs="Arial"/>
          <w:b/>
          <w:color w:val="D51366"/>
          <w:sz w:val="16"/>
          <w:szCs w:val="16"/>
        </w:rPr>
      </w:pPr>
      <w:r w:rsidRPr="00F4779C">
        <w:rPr>
          <w:rFonts w:ascii="Verdana" w:hAnsi="Verdana" w:cs="Arial"/>
          <w:b/>
          <w:color w:val="D51366"/>
          <w:sz w:val="16"/>
          <w:szCs w:val="16"/>
        </w:rPr>
        <w:t>1.2.7 Evolution de la procédure de liquidation de Video IEC España</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spacing w:line="240" w:lineRule="auto"/>
        <w:jc w:val="both"/>
        <w:rPr>
          <w:rFonts w:ascii="Verdana" w:hAnsi="Verdana" w:cs="Arial"/>
          <w:color w:val="4C4E53"/>
          <w:sz w:val="16"/>
          <w:szCs w:val="16"/>
        </w:rPr>
      </w:pPr>
      <w:r w:rsidRPr="00F4779C">
        <w:rPr>
          <w:rFonts w:ascii="Verdana" w:hAnsi="Verdana" w:cs="Arial"/>
          <w:color w:val="4C4E53"/>
          <w:sz w:val="16"/>
          <w:szCs w:val="16"/>
        </w:rPr>
        <w:t xml:space="preserve">Il est rappelé que compte tenu de l'absence de perspectives de redressement à court et moyen termes de la situation de la société Video IEC España et de la poursuite de la dégradation de l'économie espagnole, la décision a été prise de fermer la filiale espagnole de la Société. La déclaration de cessation des paiements est intervenue le 31 juillet 2012, et le jugement l'entérinant a été prononcé le 20 novembre 2012. Video IEC España a arrêté son activité en 2012 et a fait l'objet d'une procédure de liquidation judiciaire à compter du 12 février 2013 conformément au droit des procédures collectives espagnol. A la date du présent </w:t>
      </w:r>
      <w:r w:rsidR="00027C37" w:rsidRPr="00F4779C">
        <w:rPr>
          <w:rFonts w:ascii="Verdana" w:hAnsi="Verdana" w:cs="Arial"/>
          <w:color w:val="4C4E53"/>
          <w:sz w:val="16"/>
          <w:szCs w:val="16"/>
        </w:rPr>
        <w:t>document</w:t>
      </w:r>
      <w:r w:rsidRPr="00F4779C">
        <w:rPr>
          <w:rFonts w:ascii="Verdana" w:hAnsi="Verdana" w:cs="Arial"/>
          <w:color w:val="4C4E53"/>
          <w:sz w:val="16"/>
          <w:szCs w:val="16"/>
        </w:rPr>
        <w:t xml:space="preserve">, cette procédure est toujours en cours. </w:t>
      </w:r>
    </w:p>
    <w:p w:rsidR="00850A44" w:rsidRPr="00F4779C" w:rsidRDefault="00850A44" w:rsidP="004942B7">
      <w:pPr>
        <w:spacing w:line="240" w:lineRule="auto"/>
        <w:rPr>
          <w:rFonts w:ascii="Verdana" w:hAnsi="Verdana" w:cs="Arial"/>
          <w:color w:val="4C4E53"/>
          <w:sz w:val="16"/>
          <w:szCs w:val="16"/>
        </w:rPr>
      </w:pPr>
    </w:p>
    <w:p w:rsidR="00850A44" w:rsidRPr="00F4779C" w:rsidRDefault="00850A44" w:rsidP="004942B7">
      <w:pPr>
        <w:pStyle w:val="Formatlibre"/>
        <w:keepNext/>
        <w:tabs>
          <w:tab w:val="left" w:pos="2240"/>
        </w:tabs>
        <w:ind w:left="480"/>
        <w:rPr>
          <w:rFonts w:ascii="Verdana" w:hAnsi="Verdana" w:cs="Arial"/>
          <w:b/>
          <w:color w:val="D51366"/>
          <w:sz w:val="16"/>
          <w:szCs w:val="16"/>
        </w:rPr>
      </w:pPr>
      <w:r w:rsidRPr="00F4779C">
        <w:rPr>
          <w:rFonts w:ascii="Verdana" w:hAnsi="Verdana" w:cs="Arial"/>
          <w:b/>
          <w:color w:val="D51366"/>
          <w:sz w:val="16"/>
          <w:szCs w:val="16"/>
        </w:rPr>
        <w:t>1.3 Progrès réalisés ou difficultés rencontrées</w:t>
      </w:r>
    </w:p>
    <w:p w:rsidR="00850A44" w:rsidRPr="00F4779C" w:rsidRDefault="00850A44" w:rsidP="004942B7">
      <w:pPr>
        <w:pStyle w:val="Formatlibre"/>
        <w:keepNext/>
        <w:jc w:val="both"/>
        <w:rPr>
          <w:rFonts w:ascii="Verdana" w:hAnsi="Verdana" w:cs="Arial"/>
          <w:color w:val="4C4E53"/>
          <w:sz w:val="16"/>
          <w:szCs w:val="16"/>
        </w:rPr>
      </w:pPr>
    </w:p>
    <w:p w:rsidR="00850A44" w:rsidRPr="00F4779C" w:rsidRDefault="00850A44" w:rsidP="00027C37">
      <w:pPr>
        <w:pStyle w:val="Formatlibre"/>
        <w:keepNext/>
        <w:tabs>
          <w:tab w:val="left" w:pos="8789"/>
        </w:tabs>
        <w:jc w:val="both"/>
        <w:rPr>
          <w:rFonts w:ascii="Verdana" w:hAnsi="Verdana" w:cs="Arial"/>
          <w:color w:val="4C4E53"/>
          <w:sz w:val="16"/>
          <w:szCs w:val="16"/>
        </w:rPr>
      </w:pPr>
      <w:r w:rsidRPr="00F4779C">
        <w:rPr>
          <w:rFonts w:ascii="Verdana" w:hAnsi="Verdana" w:cs="Arial"/>
          <w:color w:val="4C4E53"/>
          <w:sz w:val="16"/>
          <w:szCs w:val="16"/>
        </w:rPr>
        <w:t xml:space="preserve">Cf. paragraphe </w:t>
      </w:r>
      <w:r w:rsidR="00027C37" w:rsidRPr="00F4779C">
        <w:rPr>
          <w:rFonts w:ascii="Verdana" w:hAnsi="Verdana" w:cs="Arial"/>
          <w:color w:val="4C4E53"/>
          <w:sz w:val="16"/>
          <w:szCs w:val="16"/>
        </w:rPr>
        <w:t>II</w:t>
      </w:r>
      <w:r w:rsidRPr="00F4779C">
        <w:rPr>
          <w:rFonts w:ascii="Verdana" w:hAnsi="Verdana" w:cs="Arial"/>
          <w:color w:val="4C4E53"/>
          <w:sz w:val="16"/>
          <w:szCs w:val="16"/>
        </w:rPr>
        <w:t xml:space="preserve"> du présent </w:t>
      </w:r>
      <w:r w:rsidR="00027C37" w:rsidRPr="00F4779C">
        <w:rPr>
          <w:rFonts w:ascii="Verdana" w:hAnsi="Verdana" w:cs="Arial"/>
          <w:color w:val="4C4E53"/>
          <w:sz w:val="16"/>
          <w:szCs w:val="16"/>
        </w:rPr>
        <w:t>document</w:t>
      </w:r>
      <w:r w:rsidRPr="00F4779C">
        <w:rPr>
          <w:rFonts w:ascii="Verdana" w:hAnsi="Verdana" w:cs="Arial"/>
          <w:color w:val="4C4E53"/>
          <w:sz w:val="16"/>
          <w:szCs w:val="16"/>
        </w:rPr>
        <w:t>.</w:t>
      </w:r>
    </w:p>
    <w:p w:rsidR="00850A44" w:rsidRPr="00F4779C" w:rsidRDefault="00850A44" w:rsidP="004942B7">
      <w:pPr>
        <w:pStyle w:val="Formatlibre"/>
        <w:jc w:val="both"/>
        <w:rPr>
          <w:rFonts w:ascii="Verdana" w:hAnsi="Verdana" w:cs="Arial"/>
          <w:color w:val="4C4E53"/>
          <w:sz w:val="16"/>
          <w:szCs w:val="16"/>
        </w:rPr>
      </w:pPr>
    </w:p>
    <w:p w:rsidR="00BD14A5" w:rsidRPr="00F4779C" w:rsidRDefault="00BD14A5" w:rsidP="00F4779C">
      <w:pPr>
        <w:pStyle w:val="Formatlibre"/>
        <w:keepNext/>
        <w:tabs>
          <w:tab w:val="left" w:pos="2000"/>
        </w:tabs>
        <w:rPr>
          <w:rFonts w:ascii="Verdana" w:hAnsi="Verdana" w:cs="Arial"/>
          <w:b/>
          <w:color w:val="D51366"/>
          <w:sz w:val="16"/>
          <w:szCs w:val="16"/>
        </w:rPr>
      </w:pPr>
      <w:r w:rsidRPr="00F4779C">
        <w:rPr>
          <w:rFonts w:ascii="Verdana" w:hAnsi="Verdana" w:cs="Arial"/>
          <w:b/>
          <w:color w:val="D51366"/>
          <w:sz w:val="16"/>
          <w:szCs w:val="16"/>
        </w:rPr>
        <w:lastRenderedPageBreak/>
        <w:t xml:space="preserve">2. Evènements postérieurs à la clôture – Perspectives </w:t>
      </w:r>
    </w:p>
    <w:p w:rsidR="00BD14A5" w:rsidRPr="00F4779C" w:rsidRDefault="00BD14A5" w:rsidP="00F4779C">
      <w:pPr>
        <w:pStyle w:val="Formatlibre"/>
        <w:keepNext/>
        <w:tabs>
          <w:tab w:val="left" w:pos="2240"/>
        </w:tabs>
        <w:ind w:left="480"/>
        <w:rPr>
          <w:rFonts w:ascii="Verdana" w:hAnsi="Verdana" w:cs="Arial"/>
          <w:b/>
          <w:color w:val="4C4E53"/>
          <w:sz w:val="16"/>
          <w:szCs w:val="16"/>
        </w:rPr>
      </w:pPr>
    </w:p>
    <w:p w:rsidR="00BD14A5" w:rsidRPr="00F4779C" w:rsidRDefault="00BD14A5" w:rsidP="00F4779C">
      <w:pPr>
        <w:pStyle w:val="Formatlibre"/>
        <w:keepNext/>
        <w:tabs>
          <w:tab w:val="left" w:pos="2240"/>
        </w:tabs>
        <w:ind w:left="480"/>
        <w:rPr>
          <w:rFonts w:ascii="Verdana" w:hAnsi="Verdana" w:cs="Arial"/>
          <w:b/>
          <w:color w:val="D51366"/>
          <w:sz w:val="16"/>
          <w:szCs w:val="16"/>
        </w:rPr>
      </w:pPr>
      <w:r w:rsidRPr="00F4779C">
        <w:rPr>
          <w:rFonts w:ascii="Verdana" w:hAnsi="Verdana" w:cs="Arial"/>
          <w:b/>
          <w:color w:val="D51366"/>
          <w:sz w:val="16"/>
          <w:szCs w:val="16"/>
        </w:rPr>
        <w:t xml:space="preserve">2.1 Evènements postérieurs à la clôture </w:t>
      </w:r>
    </w:p>
    <w:p w:rsidR="00BD14A5" w:rsidRPr="00F4779C" w:rsidRDefault="00BD14A5" w:rsidP="00F4779C">
      <w:pPr>
        <w:pStyle w:val="Formatlibre"/>
        <w:keepNext/>
        <w:tabs>
          <w:tab w:val="left" w:pos="2480"/>
        </w:tabs>
        <w:ind w:left="960"/>
        <w:rPr>
          <w:rFonts w:ascii="Verdana" w:hAnsi="Verdana" w:cs="Arial"/>
          <w:color w:val="D51366"/>
          <w:sz w:val="16"/>
          <w:szCs w:val="16"/>
        </w:rPr>
      </w:pPr>
    </w:p>
    <w:p w:rsidR="00BD14A5" w:rsidRPr="00F4779C" w:rsidRDefault="00BD14A5" w:rsidP="00F4779C">
      <w:pPr>
        <w:pStyle w:val="Formatlibre"/>
        <w:keepNext/>
        <w:tabs>
          <w:tab w:val="left" w:pos="2480"/>
        </w:tabs>
        <w:ind w:left="960"/>
        <w:rPr>
          <w:rFonts w:ascii="Verdana" w:hAnsi="Verdana" w:cs="Arial"/>
          <w:b/>
          <w:color w:val="D51366"/>
          <w:sz w:val="16"/>
          <w:szCs w:val="16"/>
        </w:rPr>
      </w:pPr>
      <w:r w:rsidRPr="00F4779C">
        <w:rPr>
          <w:rFonts w:ascii="Verdana" w:hAnsi="Verdana" w:cs="Arial"/>
          <w:b/>
          <w:color w:val="D51366"/>
          <w:sz w:val="16"/>
          <w:szCs w:val="16"/>
        </w:rPr>
        <w:t>2.1.1 IEC Professionnel Média devient VIDELIO</w:t>
      </w:r>
    </w:p>
    <w:p w:rsidR="00BD14A5" w:rsidRPr="00F4779C" w:rsidRDefault="00BD14A5" w:rsidP="00F4779C">
      <w:pPr>
        <w:pStyle w:val="Formatlibre"/>
        <w:keepNext/>
        <w:tabs>
          <w:tab w:val="left" w:pos="2480"/>
        </w:tabs>
        <w:ind w:left="960"/>
        <w:rPr>
          <w:rFonts w:ascii="Verdana" w:hAnsi="Verdana" w:cs="Arial"/>
          <w:color w:val="4C4E53"/>
          <w:sz w:val="16"/>
          <w:szCs w:val="16"/>
        </w:rPr>
      </w:pPr>
    </w:p>
    <w:p w:rsidR="00BD14A5" w:rsidRPr="00F4779C" w:rsidRDefault="00BD14A5" w:rsidP="00F4779C">
      <w:pPr>
        <w:pStyle w:val="Formatlibre"/>
        <w:keepNext/>
        <w:jc w:val="both"/>
        <w:rPr>
          <w:rFonts w:ascii="Verdana" w:hAnsi="Verdana" w:cs="Arial"/>
          <w:color w:val="4C4E53"/>
          <w:sz w:val="16"/>
          <w:szCs w:val="16"/>
        </w:rPr>
      </w:pPr>
      <w:r w:rsidRPr="00F4779C">
        <w:rPr>
          <w:rFonts w:ascii="Verdana" w:hAnsi="Verdana" w:cs="Arial"/>
          <w:color w:val="4C4E53"/>
          <w:sz w:val="16"/>
          <w:szCs w:val="16"/>
        </w:rPr>
        <w:t xml:space="preserve">Le 23 janvier 2014, la Société a annoncé, pour soutenir sa stratégie et accompagner ses ambitions en France et à l'international, l'adoption de VIDELIO comme nouveau nom. Ce changement est devenu définitif le 31 mars 2014 suite à son adoption par l'assemblée générale extraordinaire des actionnaires de la Société. </w:t>
      </w:r>
    </w:p>
    <w:p w:rsidR="00BD14A5" w:rsidRPr="00F4779C" w:rsidRDefault="00BD14A5" w:rsidP="004942B7">
      <w:pPr>
        <w:pStyle w:val="Formatlibre"/>
        <w:jc w:val="both"/>
        <w:rPr>
          <w:rFonts w:ascii="Verdana" w:hAnsi="Verdana" w:cs="Arial"/>
          <w:color w:val="4C4E53"/>
          <w:sz w:val="16"/>
          <w:szCs w:val="16"/>
        </w:rPr>
      </w:pPr>
    </w:p>
    <w:p w:rsidR="00BD14A5" w:rsidRPr="00F4779C" w:rsidRDefault="00BD14A5" w:rsidP="004942B7">
      <w:pPr>
        <w:pStyle w:val="Formatlibre"/>
        <w:tabs>
          <w:tab w:val="left" w:pos="2480"/>
        </w:tabs>
        <w:ind w:left="960"/>
        <w:rPr>
          <w:rFonts w:ascii="Verdana" w:hAnsi="Verdana" w:cs="Arial"/>
          <w:b/>
          <w:color w:val="D51366"/>
          <w:sz w:val="16"/>
          <w:szCs w:val="16"/>
        </w:rPr>
      </w:pPr>
      <w:r w:rsidRPr="00F4779C">
        <w:rPr>
          <w:rFonts w:ascii="Verdana" w:hAnsi="Verdana" w:cs="Arial"/>
          <w:b/>
          <w:color w:val="D51366"/>
          <w:sz w:val="16"/>
          <w:szCs w:val="16"/>
        </w:rPr>
        <w:t>2.1.2 Acquisition d’Utram</w:t>
      </w:r>
    </w:p>
    <w:p w:rsidR="00BD14A5" w:rsidRPr="00F4779C" w:rsidRDefault="00BD14A5" w:rsidP="004942B7">
      <w:pPr>
        <w:spacing w:line="240" w:lineRule="auto"/>
        <w:jc w:val="both"/>
        <w:rPr>
          <w:rFonts w:ascii="Verdana" w:hAnsi="Verdana" w:cs="Arial"/>
          <w:color w:val="4C4E53"/>
          <w:sz w:val="16"/>
          <w:szCs w:val="16"/>
        </w:rPr>
      </w:pPr>
    </w:p>
    <w:p w:rsidR="00BD14A5" w:rsidRPr="00F4779C" w:rsidRDefault="00BD14A5" w:rsidP="004942B7">
      <w:pPr>
        <w:spacing w:line="240" w:lineRule="auto"/>
        <w:jc w:val="both"/>
        <w:rPr>
          <w:rFonts w:ascii="Verdana" w:hAnsi="Verdana" w:cs="Arial"/>
          <w:color w:val="4C4E53"/>
          <w:sz w:val="16"/>
          <w:szCs w:val="16"/>
        </w:rPr>
      </w:pPr>
      <w:r w:rsidRPr="00F4779C">
        <w:rPr>
          <w:rFonts w:ascii="Verdana" w:hAnsi="Verdana" w:cs="Arial"/>
          <w:color w:val="4C4E53"/>
          <w:sz w:val="16"/>
          <w:szCs w:val="16"/>
        </w:rPr>
        <w:t>Le 17 avril 2014, VIDELIO et Utram ont annoncé leur rapprochement</w:t>
      </w:r>
      <w:r w:rsidRPr="00F4779C">
        <w:rPr>
          <w:rFonts w:ascii="Verdana" w:hAnsi="Verdana" w:cs="Arial"/>
          <w:color w:val="4C4E53"/>
          <w:sz w:val="16"/>
          <w:szCs w:val="16"/>
          <w:vertAlign w:val="superscript"/>
        </w:rPr>
        <w:t>(1)</w:t>
      </w:r>
      <w:r w:rsidRPr="00F4779C">
        <w:rPr>
          <w:rFonts w:ascii="Verdana" w:hAnsi="Verdana" w:cs="Arial"/>
          <w:color w:val="4C4E53"/>
          <w:sz w:val="16"/>
          <w:szCs w:val="16"/>
        </w:rPr>
        <w:t>.</w:t>
      </w:r>
    </w:p>
    <w:p w:rsidR="00BD14A5" w:rsidRPr="00F4779C" w:rsidRDefault="00BD14A5" w:rsidP="004942B7">
      <w:pPr>
        <w:spacing w:line="240" w:lineRule="auto"/>
        <w:jc w:val="both"/>
        <w:rPr>
          <w:rFonts w:ascii="Verdana" w:hAnsi="Verdana" w:cs="Arial"/>
          <w:color w:val="4C4E53"/>
          <w:sz w:val="16"/>
          <w:szCs w:val="16"/>
        </w:rPr>
      </w:pPr>
    </w:p>
    <w:p w:rsidR="00BD14A5" w:rsidRPr="00F4779C" w:rsidRDefault="00BD14A5" w:rsidP="004942B7">
      <w:pPr>
        <w:spacing w:line="240" w:lineRule="auto"/>
        <w:jc w:val="both"/>
        <w:rPr>
          <w:rFonts w:ascii="Verdana" w:hAnsi="Verdana" w:cs="Arial"/>
          <w:color w:val="4C4E53"/>
          <w:sz w:val="16"/>
          <w:szCs w:val="16"/>
        </w:rPr>
      </w:pPr>
      <w:r w:rsidRPr="00F4779C">
        <w:rPr>
          <w:rFonts w:ascii="Verdana" w:hAnsi="Verdana" w:cs="Arial"/>
          <w:color w:val="4C4E53"/>
          <w:sz w:val="16"/>
          <w:szCs w:val="16"/>
        </w:rPr>
        <w:t>Créée par Christian Amoretti il y a plus de 25 ans, Utram est une société reconnue pour son savoir-faire dans le domaine de la prestation évènementielle. Utram intervient sur tout type d'évènements professionnels et accompagne ses clients dans leurs projets de communication. Utram dispose d'un parc étendu et d'un outil logistique performant.</w:t>
      </w:r>
    </w:p>
    <w:p w:rsidR="00BD14A5" w:rsidRPr="00F4779C" w:rsidRDefault="00BD14A5" w:rsidP="004942B7">
      <w:pPr>
        <w:spacing w:line="240" w:lineRule="auto"/>
        <w:jc w:val="both"/>
        <w:rPr>
          <w:rFonts w:ascii="Verdana" w:hAnsi="Verdana" w:cs="Arial"/>
          <w:color w:val="4C4E53"/>
          <w:sz w:val="16"/>
          <w:szCs w:val="16"/>
        </w:rPr>
      </w:pPr>
    </w:p>
    <w:p w:rsidR="00BD14A5" w:rsidRPr="00F4779C" w:rsidRDefault="00BD14A5" w:rsidP="004942B7">
      <w:pPr>
        <w:pStyle w:val="Formatlibre"/>
        <w:jc w:val="both"/>
        <w:rPr>
          <w:rFonts w:ascii="Verdana" w:hAnsi="Verdana" w:cs="Arial"/>
          <w:color w:val="4C4E53"/>
          <w:sz w:val="16"/>
          <w:szCs w:val="16"/>
        </w:rPr>
      </w:pPr>
      <w:r w:rsidRPr="00F4779C">
        <w:rPr>
          <w:rFonts w:ascii="Verdana" w:hAnsi="Verdana" w:cs="Arial"/>
          <w:color w:val="4C4E53"/>
          <w:sz w:val="16"/>
          <w:szCs w:val="16"/>
        </w:rPr>
        <w:t>Après la reprise des activités et salariés de SOFT en juillet 2012, l'acquisition d'Utram et l'intégration de ses 129 collaborateurs vont permettre à VIDELIO - Events de doubler sa taille et franchir une étape déterminante dans la constitution d'un acteur de référence sur le marché de l'évènementiel. Grâce à la complémentarité des savoir-faire de VIDELIO - Events et d’Utram, le nouvel ensemble pourra répondre encore plus efficacement aux attentes des entreprises en matière de conseil et de déploiement de solutions techniques évènementielles (son, lumière et vidéo). Cette nouvelle opération de croissance externe permet à VIDELIO - Events de renforcer son solide positionnement sur son marché et d'atteindre une taille critique nécessaire pour offrir toujours plus de qualité de service à ses clients annonceurs et prescripteurs.</w:t>
      </w:r>
    </w:p>
    <w:p w:rsidR="00BD14A5" w:rsidRPr="00F4779C" w:rsidRDefault="00BD14A5" w:rsidP="004942B7">
      <w:pPr>
        <w:pStyle w:val="Formatlibre"/>
        <w:jc w:val="both"/>
        <w:rPr>
          <w:rFonts w:ascii="Verdana" w:hAnsi="Verdana" w:cs="Arial"/>
          <w:b/>
          <w:color w:val="4C4E53"/>
          <w:sz w:val="16"/>
          <w:szCs w:val="16"/>
          <w:vertAlign w:val="superscript"/>
        </w:rPr>
      </w:pPr>
    </w:p>
    <w:p w:rsidR="00BD14A5" w:rsidRPr="00363ECC" w:rsidRDefault="00BD14A5" w:rsidP="004942B7">
      <w:pPr>
        <w:pStyle w:val="Formatlibre"/>
        <w:ind w:left="284" w:hanging="284"/>
        <w:jc w:val="both"/>
        <w:rPr>
          <w:rFonts w:ascii="Verdana" w:hAnsi="Verdana" w:cs="Arial"/>
          <w:color w:val="4C4E53"/>
          <w:sz w:val="14"/>
          <w:szCs w:val="14"/>
        </w:rPr>
      </w:pPr>
      <w:r w:rsidRPr="00363ECC">
        <w:rPr>
          <w:rFonts w:ascii="Verdana" w:hAnsi="Verdana" w:cs="Arial"/>
          <w:b/>
          <w:color w:val="4C4E53"/>
          <w:sz w:val="14"/>
          <w:szCs w:val="14"/>
          <w:vertAlign w:val="superscript"/>
        </w:rPr>
        <w:t>(1)</w:t>
      </w:r>
      <w:r w:rsidRPr="00363ECC">
        <w:rPr>
          <w:rFonts w:ascii="Verdana" w:hAnsi="Verdana" w:cs="Arial"/>
          <w:color w:val="4C4E53"/>
          <w:sz w:val="14"/>
          <w:szCs w:val="14"/>
        </w:rPr>
        <w:t xml:space="preserve"> </w:t>
      </w:r>
      <w:r w:rsidRPr="00363ECC">
        <w:rPr>
          <w:rFonts w:ascii="Verdana" w:hAnsi="Verdana" w:cs="Arial"/>
          <w:color w:val="4C4E53"/>
          <w:sz w:val="14"/>
          <w:szCs w:val="14"/>
        </w:rPr>
        <w:tab/>
        <w:t>Le rapprochement fait suite à la signature ce jour d'un protocole d'accord de conciliation (articles L. 611</w:t>
      </w:r>
      <w:r w:rsidRPr="00363ECC">
        <w:rPr>
          <w:rFonts w:ascii="Verdana" w:hAnsi="Verdana" w:cs="Arial"/>
          <w:color w:val="4C4E53"/>
          <w:sz w:val="14"/>
          <w:szCs w:val="14"/>
        </w:rPr>
        <w:noBreakHyphen/>
        <w:t>4 et suivants du Code de commerce) engageant les actionnaires majoritaires d'Utram et ses partenaires financiers. Aux termes de cet accord, qui reste soumis à l'homologation du Tribunal de commerce de Nanterre, VIDELIO - Events acquerra environ 98 % du capital de Financière Utram, holding détenant 100% d'Utram.</w:t>
      </w:r>
    </w:p>
    <w:p w:rsidR="00BD14A5" w:rsidRPr="00F4779C" w:rsidRDefault="00BD14A5" w:rsidP="004942B7">
      <w:pPr>
        <w:pStyle w:val="Formatlibre"/>
        <w:jc w:val="both"/>
        <w:rPr>
          <w:rFonts w:ascii="Verdana" w:hAnsi="Verdana" w:cs="Arial"/>
          <w:color w:val="4C4E53"/>
          <w:sz w:val="16"/>
          <w:szCs w:val="16"/>
        </w:rPr>
      </w:pPr>
    </w:p>
    <w:p w:rsidR="00BD14A5" w:rsidRPr="00F4779C" w:rsidRDefault="00BD14A5" w:rsidP="004942B7">
      <w:pPr>
        <w:pStyle w:val="Formatlibre"/>
        <w:jc w:val="center"/>
        <w:rPr>
          <w:rFonts w:ascii="Verdana" w:hAnsi="Verdana" w:cs="Arial"/>
          <w:color w:val="4C4E53"/>
          <w:sz w:val="16"/>
          <w:szCs w:val="16"/>
        </w:rPr>
      </w:pPr>
      <w:r w:rsidRPr="00F4779C">
        <w:rPr>
          <w:rFonts w:ascii="Verdana" w:hAnsi="Verdana" w:cs="Arial"/>
          <w:color w:val="4C4E53"/>
          <w:sz w:val="16"/>
          <w:szCs w:val="16"/>
        </w:rPr>
        <w:t>*   *   *</w:t>
      </w:r>
    </w:p>
    <w:p w:rsidR="00BD14A5" w:rsidRPr="00F4779C" w:rsidRDefault="00BD14A5" w:rsidP="004942B7">
      <w:pPr>
        <w:pStyle w:val="Formatlibre"/>
        <w:jc w:val="both"/>
        <w:rPr>
          <w:rFonts w:ascii="Verdana" w:hAnsi="Verdana" w:cs="Arial"/>
          <w:color w:val="4C4E53"/>
          <w:sz w:val="16"/>
          <w:szCs w:val="16"/>
        </w:rPr>
      </w:pPr>
    </w:p>
    <w:p w:rsidR="00BD14A5" w:rsidRPr="00F4779C" w:rsidRDefault="00BD14A5" w:rsidP="004942B7">
      <w:pPr>
        <w:pStyle w:val="Formatlibre"/>
        <w:jc w:val="both"/>
        <w:rPr>
          <w:rFonts w:ascii="Verdana" w:hAnsi="Verdana" w:cs="Arial"/>
          <w:color w:val="4C4E53"/>
          <w:sz w:val="16"/>
          <w:szCs w:val="16"/>
        </w:rPr>
      </w:pPr>
      <w:r w:rsidRPr="00F4779C">
        <w:rPr>
          <w:rFonts w:ascii="Verdana" w:hAnsi="Verdana" w:cs="Arial"/>
          <w:color w:val="4C4E53"/>
          <w:sz w:val="16"/>
          <w:szCs w:val="16"/>
        </w:rPr>
        <w:t>A l’exception des opérations décrites ci-dessus, aucun événement important n’est intervenu entre la clôture de l’exercice et la date du présent document.</w:t>
      </w:r>
    </w:p>
    <w:p w:rsidR="00BD14A5" w:rsidRPr="00F4779C" w:rsidRDefault="00BD14A5" w:rsidP="004942B7">
      <w:pPr>
        <w:pStyle w:val="Formatlibre"/>
        <w:jc w:val="both"/>
        <w:rPr>
          <w:rFonts w:ascii="Verdana" w:hAnsi="Verdana" w:cs="Arial"/>
          <w:color w:val="4C4E53"/>
          <w:sz w:val="16"/>
          <w:szCs w:val="16"/>
        </w:rPr>
      </w:pPr>
    </w:p>
    <w:p w:rsidR="00BD14A5" w:rsidRPr="00F4779C" w:rsidRDefault="00BD14A5" w:rsidP="004942B7">
      <w:pPr>
        <w:pStyle w:val="Formatlibre"/>
        <w:tabs>
          <w:tab w:val="left" w:pos="2240"/>
        </w:tabs>
        <w:ind w:left="480"/>
        <w:rPr>
          <w:rFonts w:ascii="Verdana" w:hAnsi="Verdana" w:cs="Arial"/>
          <w:b/>
          <w:color w:val="D51366"/>
          <w:sz w:val="16"/>
          <w:szCs w:val="16"/>
        </w:rPr>
      </w:pPr>
      <w:r w:rsidRPr="00F4779C">
        <w:rPr>
          <w:rFonts w:ascii="Verdana" w:hAnsi="Verdana" w:cs="Arial"/>
          <w:b/>
          <w:color w:val="D51366"/>
          <w:sz w:val="16"/>
          <w:szCs w:val="16"/>
        </w:rPr>
        <w:t xml:space="preserve">2.2 Perspectives </w:t>
      </w:r>
    </w:p>
    <w:p w:rsidR="00BD14A5" w:rsidRPr="00F4779C" w:rsidRDefault="00BD14A5" w:rsidP="004942B7">
      <w:pPr>
        <w:pStyle w:val="Formatlibre"/>
        <w:jc w:val="both"/>
        <w:rPr>
          <w:rFonts w:ascii="Verdana" w:hAnsi="Verdana" w:cs="Arial"/>
          <w:color w:val="4C4E53"/>
          <w:sz w:val="16"/>
          <w:szCs w:val="16"/>
        </w:rPr>
      </w:pPr>
    </w:p>
    <w:p w:rsidR="00BD14A5" w:rsidRPr="00F4779C" w:rsidRDefault="00BD14A5" w:rsidP="004942B7">
      <w:pPr>
        <w:pStyle w:val="Formatlibre"/>
        <w:jc w:val="both"/>
        <w:rPr>
          <w:rFonts w:ascii="Verdana" w:hAnsi="Verdana" w:cs="Arial"/>
          <w:color w:val="4C4E53"/>
          <w:sz w:val="16"/>
          <w:szCs w:val="16"/>
        </w:rPr>
      </w:pPr>
      <w:r w:rsidRPr="00F4779C">
        <w:rPr>
          <w:rFonts w:ascii="Verdana" w:hAnsi="Verdana" w:cs="Arial"/>
          <w:color w:val="4C4E53"/>
          <w:sz w:val="16"/>
          <w:szCs w:val="16"/>
        </w:rPr>
        <w:t>Le Groupe entend poursuivre sa stratégie de recentrage et d'investissement sur les métiers à forte valeur ajoutée et de services, avec pour objectif une croissance de l'activité et une amélioration de la profitabilité.</w:t>
      </w:r>
    </w:p>
    <w:p w:rsidR="00BD14A5" w:rsidRPr="00F4779C" w:rsidRDefault="00BD14A5" w:rsidP="004942B7">
      <w:pPr>
        <w:pStyle w:val="Formatlibre"/>
        <w:jc w:val="both"/>
        <w:rPr>
          <w:rFonts w:ascii="Verdana" w:hAnsi="Verdana" w:cs="Arial"/>
          <w:color w:val="4C4E53"/>
          <w:sz w:val="16"/>
          <w:szCs w:val="16"/>
        </w:rPr>
      </w:pPr>
    </w:p>
    <w:p w:rsidR="00BD14A5" w:rsidRPr="00F4779C" w:rsidRDefault="00BD14A5" w:rsidP="004942B7">
      <w:pPr>
        <w:pStyle w:val="Formatlibre"/>
        <w:jc w:val="both"/>
        <w:rPr>
          <w:rFonts w:ascii="Verdana" w:hAnsi="Verdana" w:cs="Arial"/>
          <w:color w:val="4C4E53"/>
          <w:sz w:val="16"/>
          <w:szCs w:val="16"/>
        </w:rPr>
      </w:pPr>
    </w:p>
    <w:p w:rsidR="00BD14A5" w:rsidRPr="00F4779C" w:rsidRDefault="00BD14A5" w:rsidP="004942B7">
      <w:pPr>
        <w:pStyle w:val="Titre3"/>
        <w:tabs>
          <w:tab w:val="left" w:pos="540"/>
        </w:tabs>
        <w:spacing w:before="0" w:after="0"/>
        <w:rPr>
          <w:rFonts w:ascii="Verdana" w:hAnsi="Verdana"/>
          <w:caps/>
          <w:color w:val="D51366"/>
          <w:sz w:val="16"/>
          <w:szCs w:val="16"/>
        </w:rPr>
      </w:pPr>
      <w:r w:rsidRPr="00F4779C">
        <w:rPr>
          <w:rFonts w:ascii="Verdana" w:hAnsi="Verdana"/>
          <w:caps/>
          <w:color w:val="D51366"/>
          <w:sz w:val="16"/>
          <w:szCs w:val="16"/>
        </w:rPr>
        <w:t xml:space="preserve">II - </w:t>
      </w:r>
      <w:r w:rsidRPr="00F4779C">
        <w:rPr>
          <w:rFonts w:ascii="Verdana" w:hAnsi="Verdana"/>
          <w:caps/>
          <w:color w:val="D51366"/>
          <w:sz w:val="16"/>
          <w:szCs w:val="16"/>
        </w:rPr>
        <w:tab/>
        <w:t>RESULTATS</w:t>
      </w:r>
    </w:p>
    <w:p w:rsidR="00BD14A5" w:rsidRPr="00F4779C" w:rsidRDefault="00BD14A5" w:rsidP="004942B7">
      <w:pPr>
        <w:spacing w:line="240" w:lineRule="auto"/>
        <w:rPr>
          <w:rFonts w:ascii="Calibri" w:eastAsia="Calibri" w:hAnsi="Calibri" w:cs="Times New Roman"/>
          <w:sz w:val="16"/>
          <w:szCs w:val="16"/>
          <w:lang w:eastAsia="fr-FR"/>
        </w:rPr>
      </w:pPr>
    </w:p>
    <w:p w:rsidR="00850A44" w:rsidRPr="00F4779C" w:rsidRDefault="00850A44" w:rsidP="004942B7">
      <w:pPr>
        <w:pStyle w:val="Formatlibre"/>
        <w:keepNext/>
        <w:tabs>
          <w:tab w:val="left" w:pos="2240"/>
        </w:tabs>
        <w:rPr>
          <w:rFonts w:ascii="Verdana" w:hAnsi="Verdana" w:cs="Arial"/>
          <w:b/>
          <w:color w:val="D51366"/>
          <w:sz w:val="16"/>
          <w:szCs w:val="16"/>
        </w:rPr>
      </w:pPr>
      <w:r w:rsidRPr="00F4779C">
        <w:rPr>
          <w:rFonts w:ascii="Verdana" w:hAnsi="Verdana" w:cs="Arial"/>
          <w:b/>
          <w:color w:val="D51366"/>
          <w:sz w:val="16"/>
          <w:szCs w:val="16"/>
        </w:rPr>
        <w:t>1</w:t>
      </w:r>
      <w:r w:rsidR="00BD14A5" w:rsidRPr="00F4779C">
        <w:rPr>
          <w:rFonts w:ascii="Verdana" w:hAnsi="Verdana" w:cs="Arial"/>
          <w:b/>
          <w:color w:val="D51366"/>
          <w:sz w:val="16"/>
          <w:szCs w:val="16"/>
        </w:rPr>
        <w:t>.</w:t>
      </w:r>
      <w:r w:rsidRPr="00F4779C">
        <w:rPr>
          <w:rFonts w:ascii="Verdana" w:hAnsi="Verdana" w:cs="Arial"/>
          <w:b/>
          <w:color w:val="D51366"/>
          <w:sz w:val="16"/>
          <w:szCs w:val="16"/>
        </w:rPr>
        <w:t xml:space="preserve"> Résultats consolidés</w:t>
      </w:r>
    </w:p>
    <w:p w:rsidR="00850A44" w:rsidRPr="00F4779C" w:rsidRDefault="00850A44" w:rsidP="004942B7">
      <w:pPr>
        <w:pStyle w:val="Formatlibre"/>
        <w:keepNext/>
        <w:jc w:val="both"/>
        <w:rPr>
          <w:rFonts w:ascii="Verdana" w:hAnsi="Verdana" w:cs="Arial"/>
          <w:color w:val="4C4E53"/>
          <w:sz w:val="16"/>
          <w:szCs w:val="16"/>
        </w:rPr>
      </w:pPr>
    </w:p>
    <w:p w:rsidR="00850A44" w:rsidRPr="00F4779C" w:rsidRDefault="00850A44" w:rsidP="004942B7">
      <w:pPr>
        <w:pStyle w:val="Formatlibre"/>
        <w:keepNext/>
        <w:jc w:val="both"/>
        <w:rPr>
          <w:rFonts w:ascii="Verdana" w:hAnsi="Verdana" w:cs="Arial"/>
          <w:color w:val="4C4E53"/>
          <w:sz w:val="16"/>
          <w:szCs w:val="16"/>
        </w:rPr>
      </w:pPr>
      <w:r w:rsidRPr="00F4779C">
        <w:rPr>
          <w:rFonts w:ascii="Verdana" w:hAnsi="Verdana" w:cs="Arial"/>
          <w:color w:val="4C4E53"/>
          <w:sz w:val="16"/>
          <w:szCs w:val="16"/>
        </w:rPr>
        <w:t>Les comptes consolidés de l’exercice clos le 31 décembre 2013 ont été établis conformément au règlement CE N° 1606/2002 du 19 juillet 2002 et au référentiel IFRS tel qu’adopté dans l’Union Européenne. Ces normes comptables internationales comprennent les IFRS (</w:t>
      </w:r>
      <w:r w:rsidRPr="00F4779C">
        <w:rPr>
          <w:rFonts w:ascii="Verdana" w:hAnsi="Verdana" w:cs="Arial"/>
          <w:i/>
          <w:color w:val="4C4E53"/>
          <w:sz w:val="16"/>
          <w:szCs w:val="16"/>
        </w:rPr>
        <w:t>International Financial Reporting Standards</w:t>
      </w:r>
      <w:r w:rsidRPr="00F4779C">
        <w:rPr>
          <w:rFonts w:ascii="Verdana" w:hAnsi="Verdana" w:cs="Arial"/>
          <w:color w:val="4C4E53"/>
          <w:sz w:val="16"/>
          <w:szCs w:val="16"/>
        </w:rPr>
        <w:t>) et les IAS (</w:t>
      </w:r>
      <w:r w:rsidRPr="00F4779C">
        <w:rPr>
          <w:rFonts w:ascii="Verdana" w:hAnsi="Verdana" w:cs="Arial"/>
          <w:i/>
          <w:color w:val="4C4E53"/>
          <w:sz w:val="16"/>
          <w:szCs w:val="16"/>
        </w:rPr>
        <w:t>International Accounting Standards</w:t>
      </w:r>
      <w:r w:rsidRPr="00F4779C">
        <w:rPr>
          <w:rFonts w:ascii="Verdana" w:hAnsi="Verdana" w:cs="Arial"/>
          <w:color w:val="4C4E53"/>
          <w:sz w:val="16"/>
          <w:szCs w:val="16"/>
        </w:rPr>
        <w:t>), ainsi que leurs interprétations IFRIC (</w:t>
      </w:r>
      <w:r w:rsidRPr="00F4779C">
        <w:rPr>
          <w:rFonts w:ascii="Verdana" w:hAnsi="Verdana" w:cs="Arial"/>
          <w:i/>
          <w:color w:val="4C4E53"/>
          <w:sz w:val="16"/>
          <w:szCs w:val="16"/>
        </w:rPr>
        <w:t>International Financial Reporting Interpretations Committee</w:t>
      </w:r>
      <w:r w:rsidRPr="00F4779C">
        <w:rPr>
          <w:rFonts w:ascii="Verdana" w:hAnsi="Verdana" w:cs="Arial"/>
          <w:color w:val="4C4E53"/>
          <w:sz w:val="16"/>
          <w:szCs w:val="16"/>
        </w:rPr>
        <w:t xml:space="preserve">). Des explications concernant les normes et méthodes utilisées pour l’établissement des comptes consolidés de la Société figurent dans l’annexe aux comptes consolidés. </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Pour mémoire, en 2012, les sociétés Timecode Services et G2J.Com sont entrées dans le périmètre de consolidation à compter de leur date d'acquisition par le Groupe, soit, respectivement, le 24 janvier et le 15 février 2012, ainsi que, sans impact significatif, la société VIDELIO - Formation dont les parts sociales ont été acquises par le Groupe dans le cadre de l'acquisition du fonds de commerce de Soft, avec entrée en jouissance au 1</w:t>
      </w:r>
      <w:r w:rsidRPr="00F4779C">
        <w:rPr>
          <w:rFonts w:ascii="Verdana" w:hAnsi="Verdana" w:cs="Arial"/>
          <w:color w:val="4C4E53"/>
          <w:sz w:val="16"/>
          <w:szCs w:val="16"/>
          <w:vertAlign w:val="superscript"/>
        </w:rPr>
        <w:t>er</w:t>
      </w:r>
      <w:r w:rsidRPr="00F4779C">
        <w:rPr>
          <w:rFonts w:ascii="Verdana" w:hAnsi="Verdana" w:cs="Arial"/>
          <w:color w:val="4C4E53"/>
          <w:sz w:val="16"/>
          <w:szCs w:val="16"/>
        </w:rPr>
        <w:t> août 2012 et la société IEC AV Intégration and Services GmbH, nouvelle filiale allemande du Groupe acquise le 31 octobre 2012. En outre, les comptes consolidés au 31 décembre 2012 intègrent les résultats de l'activité des fonds de commerce Kezia et Soft à compter de leur date d'entrée en jouissance, soit, respectivement, le 1</w:t>
      </w:r>
      <w:r w:rsidRPr="00F4779C">
        <w:rPr>
          <w:rFonts w:ascii="Verdana" w:hAnsi="Verdana" w:cs="Arial"/>
          <w:color w:val="4C4E53"/>
          <w:sz w:val="16"/>
          <w:szCs w:val="16"/>
          <w:vertAlign w:val="superscript"/>
        </w:rPr>
        <w:t>er</w:t>
      </w:r>
      <w:r w:rsidRPr="00F4779C">
        <w:rPr>
          <w:rFonts w:ascii="Verdana" w:hAnsi="Verdana" w:cs="Arial"/>
          <w:color w:val="4C4E53"/>
          <w:sz w:val="16"/>
          <w:szCs w:val="16"/>
        </w:rPr>
        <w:t> juin et 1</w:t>
      </w:r>
      <w:r w:rsidRPr="00F4779C">
        <w:rPr>
          <w:rFonts w:ascii="Verdana" w:hAnsi="Verdana" w:cs="Arial"/>
          <w:color w:val="4C4E53"/>
          <w:sz w:val="16"/>
          <w:szCs w:val="16"/>
          <w:vertAlign w:val="superscript"/>
        </w:rPr>
        <w:t>er</w:t>
      </w:r>
      <w:r w:rsidRPr="00F4779C">
        <w:rPr>
          <w:rFonts w:ascii="Verdana" w:hAnsi="Verdana" w:cs="Arial"/>
          <w:color w:val="4C4E53"/>
          <w:sz w:val="16"/>
          <w:szCs w:val="16"/>
        </w:rPr>
        <w:t xml:space="preserve"> août 2012. </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lastRenderedPageBreak/>
        <w:t>Par ailleurs, compte tenu de la liquidation judiciaire de la société Video IEC España à compter du 12 février 2013 (cf. ci-dessus), le Groupe est considéré comme ayant perdu le contrôle de Video IEC España avec effet au 31 juillet 2012, date de la déclaration de cessation des paiements, ce qui a entraîné une déconsolidation de cette société à cette date.</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 xml:space="preserve">A titre d'information, le compte de résultat consolidé 2012 et les informations relatives au compte de résultat consolidé 2012 figurant dans le présent </w:t>
      </w:r>
      <w:r w:rsidR="00027C37" w:rsidRPr="00F4779C">
        <w:rPr>
          <w:rFonts w:ascii="Verdana" w:hAnsi="Verdana" w:cs="Arial"/>
          <w:color w:val="4C4E53"/>
          <w:sz w:val="16"/>
          <w:szCs w:val="16"/>
        </w:rPr>
        <w:t>document</w:t>
      </w:r>
      <w:r w:rsidRPr="00F4779C">
        <w:rPr>
          <w:rFonts w:ascii="Verdana" w:hAnsi="Verdana" w:cs="Arial"/>
          <w:color w:val="4C4E53"/>
          <w:sz w:val="16"/>
          <w:szCs w:val="16"/>
        </w:rPr>
        <w:t xml:space="preserve"> sont également présentés en version pro forma avec une déconsolidation de Video IEC España au 1</w:t>
      </w:r>
      <w:r w:rsidRPr="00F4779C">
        <w:rPr>
          <w:rFonts w:ascii="Verdana" w:hAnsi="Verdana" w:cs="Arial"/>
          <w:color w:val="4C4E53"/>
          <w:sz w:val="16"/>
          <w:szCs w:val="16"/>
          <w:vertAlign w:val="superscript"/>
        </w:rPr>
        <w:t>er</w:t>
      </w:r>
      <w:r w:rsidRPr="00F4779C">
        <w:rPr>
          <w:rFonts w:ascii="Verdana" w:hAnsi="Verdana" w:cs="Arial"/>
          <w:color w:val="4C4E53"/>
          <w:sz w:val="16"/>
          <w:szCs w:val="16"/>
        </w:rPr>
        <w:t> janvier 2012. Sauf indication contraire, l'évolution entre les résultats 2012 et ceux de 2013, de même que les commentaires sur le compte de résultat sont faits à partir du compte de résultat 2012 pro forma.</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En 2013, la société HMS Technologies S.r.l. (</w:t>
      </w:r>
      <w:r w:rsidR="009B5CB8" w:rsidRPr="00F4779C">
        <w:rPr>
          <w:rFonts w:ascii="Verdana" w:hAnsi="Verdana" w:cs="Arial"/>
          <w:color w:val="4C4E53"/>
          <w:sz w:val="16"/>
          <w:szCs w:val="16"/>
        </w:rPr>
        <w:t>cf.</w:t>
      </w:r>
      <w:r w:rsidRPr="00F4779C">
        <w:rPr>
          <w:rFonts w:ascii="Verdana" w:hAnsi="Verdana" w:cs="Arial"/>
          <w:color w:val="4C4E53"/>
          <w:sz w:val="16"/>
          <w:szCs w:val="16"/>
        </w:rPr>
        <w:t xml:space="preserve"> ci-dessus), filiale de la société VIDELIO - HMS, a intégré le périmètre de consolidation à compter de sa date de constitution, soit le 8 août 2013.</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La société britannique Broadcast Networks Ltd (</w:t>
      </w:r>
      <w:r w:rsidR="009B5CB8" w:rsidRPr="00F4779C">
        <w:rPr>
          <w:rFonts w:ascii="Verdana" w:hAnsi="Verdana" w:cs="Arial"/>
          <w:color w:val="4C4E53"/>
          <w:sz w:val="16"/>
          <w:szCs w:val="16"/>
        </w:rPr>
        <w:t xml:space="preserve">cf. </w:t>
      </w:r>
      <w:r w:rsidRPr="00F4779C">
        <w:rPr>
          <w:rFonts w:ascii="Verdana" w:hAnsi="Verdana" w:cs="Arial"/>
          <w:color w:val="4C4E53"/>
          <w:sz w:val="16"/>
          <w:szCs w:val="16"/>
        </w:rPr>
        <w:t>ci-dessus) a été consolidée par mise en équivalence au 31 décembre 2013. L’impact correspondant à la quote-part de résultat est de -7 K€ au 31 </w:t>
      </w:r>
      <w:r w:rsidR="00A57827" w:rsidRPr="00F4779C">
        <w:rPr>
          <w:rFonts w:ascii="Verdana" w:hAnsi="Verdana" w:cs="Arial"/>
          <w:color w:val="4C4E53"/>
          <w:sz w:val="16"/>
          <w:szCs w:val="16"/>
        </w:rPr>
        <w:t>Décembre </w:t>
      </w:r>
      <w:r w:rsidRPr="00F4779C">
        <w:rPr>
          <w:rFonts w:ascii="Verdana" w:hAnsi="Verdana" w:cs="Arial"/>
          <w:color w:val="4C4E53"/>
          <w:sz w:val="16"/>
          <w:szCs w:val="16"/>
        </w:rPr>
        <w:t>2013.</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keepNext/>
        <w:tabs>
          <w:tab w:val="left" w:pos="2480"/>
        </w:tabs>
        <w:ind w:left="482"/>
        <w:rPr>
          <w:rFonts w:ascii="Verdana" w:hAnsi="Verdana" w:cs="Arial"/>
          <w:b/>
          <w:color w:val="D51366"/>
          <w:sz w:val="16"/>
          <w:szCs w:val="16"/>
        </w:rPr>
      </w:pPr>
      <w:r w:rsidRPr="00F4779C">
        <w:rPr>
          <w:rFonts w:ascii="Verdana" w:hAnsi="Verdana" w:cs="Arial"/>
          <w:b/>
          <w:color w:val="D51366"/>
          <w:sz w:val="16"/>
          <w:szCs w:val="16"/>
        </w:rPr>
        <w:t>1.1 Analyse de la croissance de l’activité</w:t>
      </w:r>
    </w:p>
    <w:p w:rsidR="00850A44" w:rsidRPr="00F4779C" w:rsidRDefault="00850A44" w:rsidP="004942B7">
      <w:pPr>
        <w:pStyle w:val="Formatlibre"/>
        <w:keepNext/>
        <w:rPr>
          <w:rFonts w:ascii="Verdana" w:hAnsi="Verdana" w:cs="Arial"/>
          <w:color w:val="4C4E53"/>
          <w:sz w:val="16"/>
          <w:szCs w:val="16"/>
          <w:u w:color="000065"/>
        </w:rPr>
      </w:pPr>
    </w:p>
    <w:p w:rsidR="00850A44" w:rsidRPr="00F4779C" w:rsidRDefault="00850A44" w:rsidP="004942B7">
      <w:pPr>
        <w:pStyle w:val="Formatlibre"/>
        <w:keepNext/>
        <w:rPr>
          <w:rFonts w:ascii="Verdana" w:hAnsi="Verdana" w:cs="Arial"/>
          <w:b/>
          <w:i/>
          <w:color w:val="D51366"/>
          <w:sz w:val="16"/>
          <w:szCs w:val="16"/>
          <w:u w:color="000065"/>
        </w:rPr>
      </w:pPr>
      <w:r w:rsidRPr="00F4779C">
        <w:rPr>
          <w:rFonts w:ascii="Verdana" w:hAnsi="Verdana" w:cs="Arial"/>
          <w:b/>
          <w:i/>
          <w:color w:val="D51366"/>
          <w:sz w:val="16"/>
          <w:szCs w:val="16"/>
          <w:u w:color="000065"/>
        </w:rPr>
        <w:t>Contribution des activités au chiffre d’affaires consolidé</w:t>
      </w:r>
    </w:p>
    <w:p w:rsidR="00850A44" w:rsidRPr="00F4779C" w:rsidRDefault="00850A44" w:rsidP="004942B7">
      <w:pPr>
        <w:pStyle w:val="Formatlibre"/>
        <w:keepNext/>
        <w:rPr>
          <w:rFonts w:ascii="Verdana" w:hAnsi="Verdana" w:cs="Arial"/>
          <w:b/>
          <w:color w:val="4C4E53"/>
          <w:sz w:val="16"/>
          <w:szCs w:val="16"/>
          <w:u w:color="000065"/>
        </w:rPr>
      </w:pPr>
    </w:p>
    <w:tbl>
      <w:tblPr>
        <w:tblW w:w="0" w:type="auto"/>
        <w:tblInd w:w="80" w:type="dxa"/>
        <w:tblBorders>
          <w:top w:val="single" w:sz="2" w:space="0" w:color="4C4E53"/>
          <w:left w:val="single" w:sz="2" w:space="0" w:color="4C4E53"/>
          <w:bottom w:val="single" w:sz="2" w:space="0" w:color="4C4E53"/>
          <w:right w:val="single" w:sz="2" w:space="0" w:color="4C4E53"/>
          <w:insideH w:val="single" w:sz="2" w:space="0" w:color="4C4E53"/>
          <w:insideV w:val="single" w:sz="2" w:space="0" w:color="4C4E53"/>
        </w:tblBorders>
        <w:shd w:val="clear" w:color="auto" w:fill="FFFFFF"/>
        <w:tblLayout w:type="fixed"/>
        <w:tblLook w:val="0000"/>
      </w:tblPr>
      <w:tblGrid>
        <w:gridCol w:w="3685"/>
        <w:gridCol w:w="1474"/>
        <w:gridCol w:w="1474"/>
        <w:gridCol w:w="1474"/>
        <w:gridCol w:w="1531"/>
      </w:tblGrid>
      <w:tr w:rsidR="00850A44" w:rsidRPr="00F4779C" w:rsidTr="00DF378B">
        <w:trPr>
          <w:cantSplit/>
          <w:trHeight w:val="20"/>
        </w:trPr>
        <w:tc>
          <w:tcPr>
            <w:tcW w:w="3685"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Chiffre d’affaires (K€)</w:t>
            </w:r>
          </w:p>
        </w:tc>
        <w:tc>
          <w:tcPr>
            <w:tcW w:w="1474"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 xml:space="preserve">2013 </w:t>
            </w:r>
          </w:p>
        </w:tc>
        <w:tc>
          <w:tcPr>
            <w:tcW w:w="1474" w:type="dxa"/>
            <w:tcBorders>
              <w:top w:val="single" w:sz="12" w:space="0" w:color="D51366"/>
              <w:left w:val="single" w:sz="12" w:space="0" w:color="D51366"/>
              <w:bottom w:val="single" w:sz="12" w:space="0" w:color="D51366"/>
              <w:right w:val="single" w:sz="12" w:space="0" w:color="D51366"/>
            </w:tcBorders>
            <w:shd w:val="clear" w:color="auto" w:fill="FFFFFF"/>
          </w:tcPr>
          <w:p w:rsidR="00312BB9" w:rsidRPr="00F4779C" w:rsidRDefault="00850A44" w:rsidP="004942B7">
            <w:pPr>
              <w:pStyle w:val="Formatlibre"/>
              <w:keepNext/>
              <w:ind w:right="-64"/>
              <w:rPr>
                <w:rFonts w:ascii="Verdana" w:hAnsi="Verdana" w:cs="Arial"/>
                <w:b/>
                <w:color w:val="D51366"/>
                <w:sz w:val="14"/>
                <w:szCs w:val="14"/>
              </w:rPr>
            </w:pPr>
            <w:r w:rsidRPr="00F4779C">
              <w:rPr>
                <w:rFonts w:ascii="Verdana" w:hAnsi="Verdana" w:cs="Arial"/>
                <w:b/>
                <w:color w:val="D51366"/>
                <w:sz w:val="14"/>
                <w:szCs w:val="14"/>
              </w:rPr>
              <w:t xml:space="preserve">2012 </w:t>
            </w:r>
          </w:p>
          <w:p w:rsidR="00850A44" w:rsidRPr="00F4779C" w:rsidRDefault="00850A44" w:rsidP="004942B7">
            <w:pPr>
              <w:pStyle w:val="Formatlibre"/>
              <w:keepNext/>
              <w:ind w:right="-64"/>
              <w:rPr>
                <w:rFonts w:ascii="Verdana" w:hAnsi="Verdana" w:cs="Arial"/>
                <w:b/>
                <w:color w:val="D51366"/>
                <w:sz w:val="14"/>
                <w:szCs w:val="14"/>
              </w:rPr>
            </w:pPr>
            <w:r w:rsidRPr="00F4779C">
              <w:rPr>
                <w:rFonts w:ascii="Verdana" w:hAnsi="Verdana" w:cs="Arial"/>
                <w:b/>
                <w:color w:val="D51366"/>
                <w:sz w:val="14"/>
                <w:szCs w:val="14"/>
              </w:rPr>
              <w:t>pro forma</w:t>
            </w:r>
            <w:r w:rsidRPr="00F4779C">
              <w:rPr>
                <w:rFonts w:ascii="Verdana" w:hAnsi="Verdana" w:cs="Arial"/>
                <w:b/>
                <w:color w:val="D51366"/>
                <w:sz w:val="14"/>
                <w:szCs w:val="14"/>
                <w:vertAlign w:val="superscript"/>
              </w:rPr>
              <w:t>(1)</w:t>
            </w:r>
          </w:p>
        </w:tc>
        <w:tc>
          <w:tcPr>
            <w:tcW w:w="1474" w:type="dxa"/>
            <w:tcBorders>
              <w:top w:val="single" w:sz="12" w:space="0" w:color="D51366"/>
              <w:left w:val="single" w:sz="12" w:space="0" w:color="D51366"/>
              <w:bottom w:val="single" w:sz="12" w:space="0" w:color="D51366"/>
              <w:right w:val="single" w:sz="12" w:space="0" w:color="D51366"/>
            </w:tcBorders>
            <w:shd w:val="clear" w:color="auto" w:fill="FFFFFF"/>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2012</w:t>
            </w:r>
          </w:p>
        </w:tc>
        <w:tc>
          <w:tcPr>
            <w:tcW w:w="1531"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Évolution 2012/2013</w:t>
            </w:r>
            <w:r w:rsidR="00312BB9" w:rsidRPr="00F4779C">
              <w:rPr>
                <w:rFonts w:ascii="Verdana" w:hAnsi="Verdana" w:cs="Arial"/>
                <w:b/>
                <w:color w:val="D51366"/>
                <w:sz w:val="14"/>
                <w:szCs w:val="14"/>
              </w:rPr>
              <w:t xml:space="preserve"> </w:t>
            </w:r>
            <w:r w:rsidRPr="00F4779C">
              <w:rPr>
                <w:rFonts w:ascii="Verdana" w:hAnsi="Verdana" w:cs="Arial"/>
                <w:b/>
                <w:color w:val="D51366"/>
                <w:sz w:val="14"/>
                <w:szCs w:val="14"/>
              </w:rPr>
              <w:t>(%)</w:t>
            </w:r>
            <w:r w:rsidR="00725999" w:rsidRPr="00F4779C">
              <w:rPr>
                <w:rFonts w:ascii="Verdana" w:hAnsi="Verdana" w:cs="Arial"/>
                <w:b/>
                <w:color w:val="D51366"/>
                <w:sz w:val="14"/>
                <w:szCs w:val="14"/>
                <w:vertAlign w:val="superscript"/>
              </w:rPr>
              <w:t>(2</w:t>
            </w:r>
            <w:r w:rsidRPr="00F4779C">
              <w:rPr>
                <w:rFonts w:ascii="Verdana" w:hAnsi="Verdana" w:cs="Arial"/>
                <w:b/>
                <w:color w:val="D51366"/>
                <w:sz w:val="14"/>
                <w:szCs w:val="14"/>
                <w:vertAlign w:val="superscript"/>
              </w:rPr>
              <w:t>)</w:t>
            </w:r>
          </w:p>
        </w:tc>
      </w:tr>
      <w:tr w:rsidR="00850A44" w:rsidRPr="00F4779C" w:rsidTr="00DF378B">
        <w:trPr>
          <w:cantSplit/>
          <w:trHeight w:val="20"/>
        </w:trPr>
        <w:tc>
          <w:tcPr>
            <w:tcW w:w="3685"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Corporate</w:t>
            </w:r>
          </w:p>
        </w:tc>
        <w:tc>
          <w:tcPr>
            <w:tcW w:w="1474"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129 261</w:t>
            </w:r>
          </w:p>
        </w:tc>
        <w:tc>
          <w:tcPr>
            <w:tcW w:w="1474" w:type="dxa"/>
            <w:tcBorders>
              <w:top w:val="single" w:sz="12" w:space="0" w:color="D51366"/>
            </w:tcBorders>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122 588</w:t>
            </w:r>
          </w:p>
        </w:tc>
        <w:tc>
          <w:tcPr>
            <w:tcW w:w="1474" w:type="dxa"/>
            <w:tcBorders>
              <w:top w:val="single" w:sz="12" w:space="0" w:color="D51366"/>
            </w:tcBorders>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124 316</w:t>
            </w:r>
          </w:p>
        </w:tc>
        <w:tc>
          <w:tcPr>
            <w:tcW w:w="1531"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5,44</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Cruise</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26 523</w:t>
            </w:r>
          </w:p>
        </w:tc>
        <w:tc>
          <w:tcPr>
            <w:tcW w:w="1474" w:type="dxa"/>
            <w:shd w:val="clear" w:color="auto" w:fill="FFFFFF"/>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26 208</w:t>
            </w:r>
          </w:p>
        </w:tc>
        <w:tc>
          <w:tcPr>
            <w:tcW w:w="1474" w:type="dxa"/>
            <w:shd w:val="clear" w:color="auto" w:fill="FFFFFF"/>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26 208</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1,20</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Broadcast</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20 731</w:t>
            </w:r>
          </w:p>
        </w:tc>
        <w:tc>
          <w:tcPr>
            <w:tcW w:w="1474" w:type="dxa"/>
            <w:shd w:val="clear" w:color="auto" w:fill="FFFFFF"/>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36 224</w:t>
            </w:r>
          </w:p>
        </w:tc>
        <w:tc>
          <w:tcPr>
            <w:tcW w:w="1474" w:type="dxa"/>
            <w:shd w:val="clear" w:color="auto" w:fill="FFFFFF"/>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36 224</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-42,77</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Total</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176 515</w:t>
            </w:r>
          </w:p>
        </w:tc>
        <w:tc>
          <w:tcPr>
            <w:tcW w:w="1474" w:type="dxa"/>
            <w:shd w:val="clear" w:color="auto" w:fill="FFFFFF"/>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185 020</w:t>
            </w:r>
          </w:p>
        </w:tc>
        <w:tc>
          <w:tcPr>
            <w:tcW w:w="1474" w:type="dxa"/>
            <w:shd w:val="clear" w:color="auto" w:fill="FFFFFF"/>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186 748</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-4,60</w:t>
            </w:r>
          </w:p>
        </w:tc>
      </w:tr>
    </w:tbl>
    <w:p w:rsidR="00850A44" w:rsidRPr="00F4779C" w:rsidRDefault="00850A44" w:rsidP="004942B7">
      <w:pPr>
        <w:pStyle w:val="Formatlibre"/>
        <w:ind w:left="426" w:hanging="426"/>
        <w:rPr>
          <w:rFonts w:ascii="Verdana" w:hAnsi="Verdana" w:cs="Arial"/>
          <w:color w:val="4C4E53"/>
          <w:sz w:val="12"/>
          <w:szCs w:val="12"/>
        </w:rPr>
      </w:pPr>
      <w:r w:rsidRPr="00F4779C">
        <w:rPr>
          <w:rFonts w:ascii="Verdana" w:hAnsi="Verdana" w:cs="Arial"/>
          <w:color w:val="4C4E53"/>
          <w:sz w:val="12"/>
          <w:szCs w:val="12"/>
        </w:rPr>
        <w:t xml:space="preserve">(1) </w:t>
      </w:r>
      <w:r w:rsidRPr="00F4779C">
        <w:rPr>
          <w:rFonts w:ascii="Verdana" w:hAnsi="Verdana" w:cs="Arial"/>
          <w:color w:val="4C4E53"/>
          <w:sz w:val="12"/>
          <w:szCs w:val="12"/>
        </w:rPr>
        <w:tab/>
        <w:t>Déconsolidation de Video IEC España au 1</w:t>
      </w:r>
      <w:r w:rsidRPr="00F4779C">
        <w:rPr>
          <w:rFonts w:ascii="Verdana" w:hAnsi="Verdana" w:cs="Arial"/>
          <w:color w:val="4C4E53"/>
          <w:sz w:val="12"/>
          <w:szCs w:val="12"/>
          <w:vertAlign w:val="superscript"/>
        </w:rPr>
        <w:t>er</w:t>
      </w:r>
      <w:r w:rsidRPr="00F4779C">
        <w:rPr>
          <w:rFonts w:ascii="Verdana" w:hAnsi="Verdana" w:cs="Arial"/>
          <w:color w:val="4C4E53"/>
          <w:sz w:val="12"/>
          <w:szCs w:val="12"/>
        </w:rPr>
        <w:t> janvier 2012 (cf. 2.1 ci-dessus).</w:t>
      </w:r>
    </w:p>
    <w:p w:rsidR="00850A44" w:rsidRPr="00F4779C" w:rsidRDefault="00850A44" w:rsidP="004942B7">
      <w:pPr>
        <w:pStyle w:val="Formatlibre"/>
        <w:ind w:left="426" w:hanging="426"/>
        <w:rPr>
          <w:rFonts w:ascii="Verdana" w:hAnsi="Verdana" w:cs="Arial"/>
          <w:color w:val="4C4E53"/>
          <w:sz w:val="12"/>
          <w:szCs w:val="12"/>
        </w:rPr>
      </w:pPr>
      <w:r w:rsidRPr="00F4779C">
        <w:rPr>
          <w:rFonts w:ascii="Verdana" w:hAnsi="Verdana" w:cs="Arial"/>
          <w:color w:val="4C4E53"/>
          <w:sz w:val="12"/>
          <w:szCs w:val="12"/>
        </w:rPr>
        <w:t xml:space="preserve">(2) </w:t>
      </w:r>
      <w:r w:rsidRPr="00F4779C">
        <w:rPr>
          <w:rFonts w:ascii="Verdana" w:hAnsi="Verdana" w:cs="Arial"/>
          <w:color w:val="4C4E53"/>
          <w:sz w:val="12"/>
          <w:szCs w:val="12"/>
        </w:rPr>
        <w:tab/>
        <w:t>La variation est calculée sur la base du compte de résultat consolidé 2012 pro forma (cf. note 1 ci-dessus).</w:t>
      </w:r>
    </w:p>
    <w:p w:rsidR="00850A44" w:rsidRPr="00F4779C" w:rsidRDefault="00850A44" w:rsidP="004942B7">
      <w:pPr>
        <w:pStyle w:val="Formatlibre"/>
        <w:jc w:val="both"/>
        <w:rPr>
          <w:rFonts w:ascii="Verdana" w:hAnsi="Verdana" w:cs="Arial"/>
          <w:color w:val="4C4E53"/>
          <w:sz w:val="16"/>
          <w:szCs w:val="16"/>
          <w:u w:color="000065"/>
        </w:rPr>
      </w:pPr>
    </w:p>
    <w:p w:rsidR="00850A44" w:rsidRPr="00F4779C" w:rsidRDefault="00850A44" w:rsidP="004942B7">
      <w:pPr>
        <w:spacing w:line="240" w:lineRule="auto"/>
        <w:jc w:val="both"/>
        <w:rPr>
          <w:rFonts w:ascii="Verdana" w:hAnsi="Verdana" w:cs="Arial"/>
          <w:color w:val="4C4E53"/>
          <w:spacing w:val="-2"/>
          <w:sz w:val="16"/>
          <w:szCs w:val="16"/>
        </w:rPr>
      </w:pPr>
      <w:r w:rsidRPr="00F4779C">
        <w:rPr>
          <w:rFonts w:ascii="Verdana" w:hAnsi="Verdana" w:cs="Arial"/>
          <w:color w:val="4C4E53"/>
          <w:spacing w:val="-2"/>
          <w:sz w:val="16"/>
          <w:szCs w:val="16"/>
        </w:rPr>
        <w:t>Le chiffre d’affaires au 31 décembre 2013 s’établit à 176 515 K€, contre 186 748 K€ au 31 décembre 2012, soit une baisse de 5,48 %. A périmètre comparable, cette variation est de -10,32 %. La différence entre le chiffre d’affaires publié et le chiffre d’affaires comparable est liée à (i) l’activité de la société G2J dont l’acquisition date du 15 février 2012, (ii) aux entrées en jouissance des fonds de commerce des sociétés Kezia et Soft intervenues au 1</w:t>
      </w:r>
      <w:r w:rsidRPr="00F4779C">
        <w:rPr>
          <w:rFonts w:ascii="Verdana" w:hAnsi="Verdana" w:cs="Arial"/>
          <w:color w:val="4C4E53"/>
          <w:spacing w:val="-2"/>
          <w:sz w:val="16"/>
          <w:szCs w:val="16"/>
          <w:vertAlign w:val="superscript"/>
        </w:rPr>
        <w:t>er</w:t>
      </w:r>
      <w:r w:rsidRPr="00F4779C">
        <w:rPr>
          <w:rFonts w:ascii="Verdana" w:hAnsi="Verdana" w:cs="Arial"/>
          <w:color w:val="4C4E53"/>
          <w:spacing w:val="-2"/>
          <w:sz w:val="16"/>
          <w:szCs w:val="16"/>
        </w:rPr>
        <w:t xml:space="preserve"> juin pour la première et au 1</w:t>
      </w:r>
      <w:r w:rsidRPr="00F4779C">
        <w:rPr>
          <w:rFonts w:ascii="Verdana" w:hAnsi="Verdana" w:cs="Arial"/>
          <w:color w:val="4C4E53"/>
          <w:spacing w:val="-2"/>
          <w:sz w:val="16"/>
          <w:szCs w:val="16"/>
          <w:vertAlign w:val="superscript"/>
        </w:rPr>
        <w:t>er</w:t>
      </w:r>
      <w:r w:rsidRPr="00F4779C">
        <w:rPr>
          <w:rFonts w:ascii="Verdana" w:hAnsi="Verdana" w:cs="Arial"/>
          <w:color w:val="4C4E53"/>
          <w:spacing w:val="-2"/>
          <w:sz w:val="16"/>
          <w:szCs w:val="16"/>
        </w:rPr>
        <w:t xml:space="preserve"> août 2012 pour la seconde, (iii) la sortie du périmètre de Video IEC España au 31 juillet 2012 et (iv) la création de HMS Technologies, filiale italienne de VIDELIO - HMS le 7 août 2013. Par ailleurs, compte tenu de la déconsolidation de Video IEC España à compter du 31 juillet 2012, le compte de résultat 2012 est également présenté en version pro forma avec une déconsolidation de Video IEC España au 1</w:t>
      </w:r>
      <w:r w:rsidRPr="00F4779C">
        <w:rPr>
          <w:rFonts w:ascii="Verdana" w:hAnsi="Verdana" w:cs="Arial"/>
          <w:color w:val="4C4E53"/>
          <w:spacing w:val="-2"/>
          <w:sz w:val="16"/>
          <w:szCs w:val="16"/>
          <w:vertAlign w:val="superscript"/>
        </w:rPr>
        <w:t>er</w:t>
      </w:r>
      <w:r w:rsidRPr="00F4779C">
        <w:rPr>
          <w:rFonts w:ascii="Verdana" w:hAnsi="Verdana" w:cs="Arial"/>
          <w:color w:val="4C4E53"/>
          <w:spacing w:val="-2"/>
          <w:sz w:val="16"/>
          <w:szCs w:val="16"/>
        </w:rPr>
        <w:t xml:space="preserve"> janvier 2012. Sur cette base, le chiffre d’affaires consolidé recule de 4,60 %.  </w:t>
      </w:r>
    </w:p>
    <w:p w:rsidR="00850A44" w:rsidRPr="00F4779C" w:rsidRDefault="00850A44" w:rsidP="004942B7">
      <w:pPr>
        <w:pStyle w:val="Normalcentr"/>
        <w:ind w:left="0" w:right="0"/>
        <w:rPr>
          <w:rFonts w:ascii="Verdana" w:hAnsi="Verdana" w:cs="Arial"/>
          <w:color w:val="4C4E53"/>
          <w:spacing w:val="-2"/>
          <w:szCs w:val="16"/>
        </w:rPr>
      </w:pPr>
    </w:p>
    <w:p w:rsidR="00850A44" w:rsidRPr="00F4779C" w:rsidRDefault="00850A44" w:rsidP="004942B7">
      <w:pPr>
        <w:pStyle w:val="Normalcentr"/>
        <w:ind w:left="0" w:right="0"/>
        <w:rPr>
          <w:rFonts w:ascii="Verdana" w:hAnsi="Verdana" w:cs="Arial"/>
          <w:color w:val="4C4E53"/>
          <w:spacing w:val="-2"/>
          <w:szCs w:val="16"/>
        </w:rPr>
      </w:pPr>
      <w:r w:rsidRPr="00F4779C">
        <w:rPr>
          <w:rFonts w:ascii="Verdana" w:hAnsi="Verdana" w:cs="Arial"/>
          <w:color w:val="4C4E53"/>
          <w:spacing w:val="-2"/>
          <w:szCs w:val="16"/>
        </w:rPr>
        <w:t>Le chiffre d’affaires du secteur « Corporate » a augmenté de 3,98 % pour s’établir à 129 261 K€ au 31 décembre 2013 contre 124 316 K€ au 31 décembre 2012. A périmètre comparable, en retraitant l’activité de G2J pour le mois de janvier 2013 et celle de Soft de janvier à juillet 2013, le chiffre d’affaires diminue de 3,19 %. En pro forma (après déconsolidation de Video IEC España au 1</w:t>
      </w:r>
      <w:r w:rsidRPr="00F4779C">
        <w:rPr>
          <w:rFonts w:ascii="Verdana" w:hAnsi="Verdana" w:cs="Arial"/>
          <w:color w:val="4C4E53"/>
          <w:spacing w:val="-2"/>
          <w:szCs w:val="16"/>
          <w:vertAlign w:val="superscript"/>
        </w:rPr>
        <w:t>er</w:t>
      </w:r>
      <w:r w:rsidRPr="00F4779C">
        <w:rPr>
          <w:rFonts w:ascii="Verdana" w:hAnsi="Verdana" w:cs="Arial"/>
          <w:color w:val="4C4E53"/>
          <w:spacing w:val="-2"/>
          <w:szCs w:val="16"/>
        </w:rPr>
        <w:t xml:space="preserve"> janvier 2012), le chiffre d’affaires du secteur « Corporate » progresse de 5,44 %.  </w:t>
      </w:r>
    </w:p>
    <w:p w:rsidR="00850A44" w:rsidRPr="00F4779C" w:rsidRDefault="00850A44" w:rsidP="004942B7">
      <w:pPr>
        <w:pStyle w:val="Normalcentr"/>
        <w:ind w:left="0" w:right="0"/>
        <w:rPr>
          <w:rFonts w:ascii="Verdana" w:hAnsi="Verdana" w:cs="Arial"/>
          <w:color w:val="4C4E53"/>
          <w:spacing w:val="-2"/>
          <w:szCs w:val="16"/>
        </w:rPr>
      </w:pPr>
    </w:p>
    <w:p w:rsidR="00850A44" w:rsidRPr="00F4779C" w:rsidRDefault="00850A44" w:rsidP="004942B7">
      <w:pPr>
        <w:pStyle w:val="Normalcentr"/>
        <w:ind w:left="0" w:right="0"/>
        <w:rPr>
          <w:rFonts w:ascii="Verdana" w:hAnsi="Verdana" w:cs="Arial"/>
          <w:color w:val="4C4E53"/>
          <w:spacing w:val="-2"/>
          <w:szCs w:val="16"/>
        </w:rPr>
      </w:pPr>
      <w:r w:rsidRPr="00F4779C">
        <w:rPr>
          <w:rFonts w:ascii="Verdana" w:hAnsi="Verdana" w:cs="Arial"/>
          <w:color w:val="4C4E53"/>
          <w:spacing w:val="-2"/>
          <w:szCs w:val="16"/>
        </w:rPr>
        <w:t xml:space="preserve">Le chiffre d’affaires du secteur « Cruise » </w:t>
      </w:r>
      <w:r w:rsidRPr="00F4779C">
        <w:rPr>
          <w:rFonts w:ascii="Verdana" w:hAnsi="Verdana" w:cs="Arial"/>
          <w:bCs/>
          <w:color w:val="4C4E53"/>
          <w:spacing w:val="-2"/>
          <w:szCs w:val="16"/>
        </w:rPr>
        <w:t xml:space="preserve">est stable au 31 décembre 2013 par rapport à l’année précédente et s’élève à 26 523 K€ contre 26 208 K€ au 31 décembre 2012. </w:t>
      </w:r>
      <w:r w:rsidRPr="00F4779C">
        <w:rPr>
          <w:rFonts w:ascii="Verdana" w:hAnsi="Verdana" w:cs="Arial"/>
          <w:color w:val="4C4E53"/>
          <w:spacing w:val="-2"/>
          <w:szCs w:val="16"/>
        </w:rPr>
        <w:t xml:space="preserve">A périmètre comparable, en retraitant l’activité de HMS Technologies, le chiffre d’affaires est en progression de 0,71 % et s’établit à 26 395 K€. Une amélioration devrait intervenir en 2014 notamment grâce aux commandes relatives aux systèmes de lumières, son et machinerie scénique prises par VIDELIO - HMS en France auprès de STX dans le cadre de la construction pour RCCL du troisième navire de la série OASIS. </w:t>
      </w:r>
    </w:p>
    <w:p w:rsidR="00850A44" w:rsidRPr="00F4779C" w:rsidRDefault="00850A44" w:rsidP="004942B7">
      <w:pPr>
        <w:pStyle w:val="Normalcentr"/>
        <w:ind w:left="0" w:right="0"/>
        <w:rPr>
          <w:rFonts w:ascii="Verdana" w:hAnsi="Verdana" w:cs="Arial"/>
          <w:color w:val="4C4E53"/>
          <w:spacing w:val="-2"/>
          <w:szCs w:val="16"/>
        </w:rPr>
      </w:pPr>
    </w:p>
    <w:p w:rsidR="00850A44" w:rsidRPr="00F4779C" w:rsidRDefault="00850A44" w:rsidP="004942B7">
      <w:pPr>
        <w:pStyle w:val="Normalcentr"/>
        <w:ind w:left="0" w:right="0"/>
        <w:rPr>
          <w:rFonts w:ascii="Verdana" w:hAnsi="Verdana" w:cs="Arial"/>
          <w:color w:val="4C4E53"/>
          <w:spacing w:val="-2"/>
          <w:szCs w:val="16"/>
        </w:rPr>
      </w:pPr>
      <w:r w:rsidRPr="00F4779C">
        <w:rPr>
          <w:rFonts w:ascii="Verdana" w:hAnsi="Verdana" w:cs="Arial"/>
          <w:color w:val="4C4E53"/>
          <w:spacing w:val="-2"/>
          <w:szCs w:val="16"/>
        </w:rPr>
        <w:t>Le chiffre d’affaires du secteur « Broadcast » représente 20 731 K€ au 31 décembre 2013 contre 36 224 K€ au 31 décembre 2012, soit une baisse de 42,77 % à périmètre publié et comparable. Comme annoncé en début d’année 2013, le secteur « Broadcast » observe un retrait sensible de son activité par rapport à un exercice 2012 en très forte progression (+28,65 %). Ce recul s’explique notamment par la baisse des investissements des acteurs français du secteur, chaînes de télévision et prestataires de services. La tendance, qui devrait se poursuivre sur le 1</w:t>
      </w:r>
      <w:r w:rsidRPr="00F4779C">
        <w:rPr>
          <w:rFonts w:ascii="Verdana" w:hAnsi="Verdana" w:cs="Arial"/>
          <w:color w:val="4C4E53"/>
          <w:spacing w:val="-2"/>
          <w:szCs w:val="16"/>
          <w:vertAlign w:val="superscript"/>
        </w:rPr>
        <w:t>er</w:t>
      </w:r>
      <w:r w:rsidRPr="00F4779C">
        <w:rPr>
          <w:rFonts w:ascii="Verdana" w:hAnsi="Verdana" w:cs="Arial"/>
          <w:color w:val="4C4E53"/>
          <w:spacing w:val="-2"/>
          <w:szCs w:val="16"/>
        </w:rPr>
        <w:t xml:space="preserve"> trimestre 2014, est propre au marché français. Des marchés à l’export significatifs pour 2014 sont en cours de discussion mais restent, à ce jour, incertains dans leur conclusion. Pour consolider son développement à l’international dans ce marché, notamment dans les pays anglo-saxons, et optimiser les synergies opérationnelles, le groupe a pris, le 30 septembre 2013, une participation de 30 % dans la société britannique Broadcast Networks Ltd (cf. ci-dessus). </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keepNext/>
        <w:tabs>
          <w:tab w:val="left" w:pos="2480"/>
        </w:tabs>
        <w:ind w:left="482"/>
        <w:rPr>
          <w:rFonts w:ascii="Verdana" w:hAnsi="Verdana" w:cs="Arial"/>
          <w:b/>
          <w:color w:val="D51366"/>
          <w:sz w:val="16"/>
          <w:szCs w:val="16"/>
        </w:rPr>
      </w:pPr>
      <w:r w:rsidRPr="00F4779C">
        <w:rPr>
          <w:rFonts w:ascii="Verdana" w:hAnsi="Verdana" w:cs="Arial"/>
          <w:b/>
          <w:color w:val="D51366"/>
          <w:sz w:val="16"/>
          <w:szCs w:val="16"/>
        </w:rPr>
        <w:lastRenderedPageBreak/>
        <w:t>1.2 Analyse de la rentabilité opérationnelle et du résultat net</w:t>
      </w:r>
    </w:p>
    <w:p w:rsidR="00850A44" w:rsidRPr="00F4779C" w:rsidRDefault="00850A44" w:rsidP="004942B7">
      <w:pPr>
        <w:pStyle w:val="Formatlibre"/>
        <w:keepNext/>
        <w:rPr>
          <w:rFonts w:ascii="Verdana" w:hAnsi="Verdana" w:cs="Arial"/>
          <w:color w:val="D51366"/>
          <w:sz w:val="16"/>
          <w:szCs w:val="16"/>
          <w:u w:color="000065"/>
        </w:rPr>
      </w:pPr>
    </w:p>
    <w:p w:rsidR="00850A44" w:rsidRPr="00F4779C" w:rsidRDefault="00850A44" w:rsidP="004942B7">
      <w:pPr>
        <w:pStyle w:val="Formatlibre"/>
        <w:keepNext/>
        <w:rPr>
          <w:rFonts w:ascii="Verdana" w:hAnsi="Verdana" w:cs="Arial"/>
          <w:b/>
          <w:i/>
          <w:color w:val="D51366"/>
          <w:sz w:val="16"/>
          <w:szCs w:val="16"/>
          <w:u w:color="000065"/>
        </w:rPr>
      </w:pPr>
      <w:r w:rsidRPr="00F4779C">
        <w:rPr>
          <w:rFonts w:ascii="Verdana" w:hAnsi="Verdana" w:cs="Arial"/>
          <w:b/>
          <w:i/>
          <w:color w:val="D51366"/>
          <w:sz w:val="16"/>
          <w:szCs w:val="16"/>
          <w:u w:color="000065"/>
        </w:rPr>
        <w:t>Contribution des activités au résultat opérationnel courant (Ebit)</w:t>
      </w:r>
    </w:p>
    <w:p w:rsidR="00850A44" w:rsidRPr="00F4779C" w:rsidRDefault="00850A44" w:rsidP="004942B7">
      <w:pPr>
        <w:pStyle w:val="Formatlibre"/>
        <w:keepNext/>
        <w:rPr>
          <w:rFonts w:ascii="Verdana" w:hAnsi="Verdana" w:cs="Arial"/>
          <w:color w:val="4C4E53"/>
          <w:sz w:val="16"/>
          <w:szCs w:val="16"/>
          <w:u w:color="000065"/>
        </w:rPr>
      </w:pPr>
    </w:p>
    <w:tbl>
      <w:tblPr>
        <w:tblW w:w="0" w:type="auto"/>
        <w:tblInd w:w="80" w:type="dxa"/>
        <w:tblBorders>
          <w:top w:val="single" w:sz="2" w:space="0" w:color="4C4E53"/>
          <w:left w:val="single" w:sz="2" w:space="0" w:color="4C4E53"/>
          <w:bottom w:val="single" w:sz="2" w:space="0" w:color="4C4E53"/>
          <w:right w:val="single" w:sz="2" w:space="0" w:color="4C4E53"/>
          <w:insideH w:val="single" w:sz="2" w:space="0" w:color="4C4E53"/>
          <w:insideV w:val="single" w:sz="2" w:space="0" w:color="4C4E53"/>
        </w:tblBorders>
        <w:shd w:val="clear" w:color="auto" w:fill="FFFFFF"/>
        <w:tblLayout w:type="fixed"/>
        <w:tblLook w:val="0000"/>
      </w:tblPr>
      <w:tblGrid>
        <w:gridCol w:w="3685"/>
        <w:gridCol w:w="1474"/>
        <w:gridCol w:w="1474"/>
        <w:gridCol w:w="1474"/>
        <w:gridCol w:w="1531"/>
      </w:tblGrid>
      <w:tr w:rsidR="00850A44" w:rsidRPr="00F4779C" w:rsidTr="00DF378B">
        <w:trPr>
          <w:cantSplit/>
          <w:trHeight w:val="20"/>
        </w:trPr>
        <w:tc>
          <w:tcPr>
            <w:tcW w:w="3685"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Résultat opérationnel courant (K€)</w:t>
            </w:r>
          </w:p>
        </w:tc>
        <w:tc>
          <w:tcPr>
            <w:tcW w:w="1474"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2013</w:t>
            </w:r>
          </w:p>
        </w:tc>
        <w:tc>
          <w:tcPr>
            <w:tcW w:w="1474" w:type="dxa"/>
            <w:tcBorders>
              <w:top w:val="single" w:sz="12" w:space="0" w:color="D51366"/>
              <w:left w:val="single" w:sz="12" w:space="0" w:color="D51366"/>
              <w:bottom w:val="single" w:sz="12" w:space="0" w:color="D51366"/>
              <w:right w:val="single" w:sz="12" w:space="0" w:color="D51366"/>
            </w:tcBorders>
            <w:shd w:val="clear" w:color="auto" w:fill="FFFFFF"/>
          </w:tcPr>
          <w:p w:rsidR="00725999" w:rsidRPr="00F4779C" w:rsidRDefault="00850A44" w:rsidP="004942B7">
            <w:pPr>
              <w:pStyle w:val="Formatlibre"/>
              <w:keepNext/>
              <w:ind w:right="-64"/>
              <w:rPr>
                <w:rFonts w:ascii="Verdana" w:hAnsi="Verdana" w:cs="Arial"/>
                <w:b/>
                <w:color w:val="D51366"/>
                <w:sz w:val="14"/>
                <w:szCs w:val="14"/>
              </w:rPr>
            </w:pPr>
            <w:r w:rsidRPr="00F4779C">
              <w:rPr>
                <w:rFonts w:ascii="Verdana" w:hAnsi="Verdana" w:cs="Arial"/>
                <w:b/>
                <w:color w:val="D51366"/>
                <w:sz w:val="14"/>
                <w:szCs w:val="14"/>
              </w:rPr>
              <w:t xml:space="preserve">2012 </w:t>
            </w:r>
          </w:p>
          <w:p w:rsidR="00850A44" w:rsidRPr="00F4779C" w:rsidRDefault="00850A44" w:rsidP="004942B7">
            <w:pPr>
              <w:pStyle w:val="Formatlibre"/>
              <w:keepNext/>
              <w:ind w:right="-64"/>
              <w:rPr>
                <w:rFonts w:ascii="Verdana" w:hAnsi="Verdana" w:cs="Arial"/>
                <w:b/>
                <w:color w:val="D51366"/>
                <w:sz w:val="14"/>
                <w:szCs w:val="14"/>
              </w:rPr>
            </w:pPr>
            <w:r w:rsidRPr="00F4779C">
              <w:rPr>
                <w:rFonts w:ascii="Verdana" w:hAnsi="Verdana" w:cs="Arial"/>
                <w:b/>
                <w:color w:val="D51366"/>
                <w:sz w:val="14"/>
                <w:szCs w:val="14"/>
              </w:rPr>
              <w:t>pro forma</w:t>
            </w:r>
            <w:r w:rsidRPr="00F4779C">
              <w:rPr>
                <w:rFonts w:ascii="Verdana" w:hAnsi="Verdana" w:cs="Arial"/>
                <w:b/>
                <w:color w:val="D51366"/>
                <w:sz w:val="14"/>
                <w:szCs w:val="14"/>
                <w:vertAlign w:val="superscript"/>
              </w:rPr>
              <w:t>(1)</w:t>
            </w:r>
          </w:p>
        </w:tc>
        <w:tc>
          <w:tcPr>
            <w:tcW w:w="1474" w:type="dxa"/>
            <w:tcBorders>
              <w:top w:val="single" w:sz="12" w:space="0" w:color="D51366"/>
              <w:left w:val="single" w:sz="12" w:space="0" w:color="D51366"/>
              <w:bottom w:val="single" w:sz="12" w:space="0" w:color="D51366"/>
              <w:right w:val="single" w:sz="12" w:space="0" w:color="D51366"/>
            </w:tcBorders>
            <w:shd w:val="clear" w:color="auto" w:fill="FFFFFF"/>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2012</w:t>
            </w:r>
          </w:p>
        </w:tc>
        <w:tc>
          <w:tcPr>
            <w:tcW w:w="1531"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725999"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Evolution 2012/2013</w:t>
            </w:r>
            <w:r w:rsidR="00312BB9" w:rsidRPr="00F4779C">
              <w:rPr>
                <w:rFonts w:ascii="Verdana" w:hAnsi="Verdana" w:cs="Arial"/>
                <w:b/>
                <w:color w:val="D51366"/>
                <w:sz w:val="14"/>
                <w:szCs w:val="14"/>
              </w:rPr>
              <w:t xml:space="preserve"> </w:t>
            </w:r>
            <w:r w:rsidR="00850A44" w:rsidRPr="00F4779C">
              <w:rPr>
                <w:rFonts w:ascii="Verdana" w:hAnsi="Verdana" w:cs="Arial"/>
                <w:b/>
                <w:color w:val="D51366"/>
                <w:sz w:val="14"/>
                <w:szCs w:val="14"/>
              </w:rPr>
              <w:t>(%)</w:t>
            </w:r>
            <w:r w:rsidR="00850A44" w:rsidRPr="00F4779C">
              <w:rPr>
                <w:rFonts w:ascii="Verdana" w:hAnsi="Verdana" w:cs="Arial"/>
                <w:b/>
                <w:color w:val="D51366"/>
                <w:sz w:val="14"/>
                <w:szCs w:val="14"/>
                <w:vertAlign w:val="superscript"/>
              </w:rPr>
              <w:t>(2)</w:t>
            </w:r>
          </w:p>
        </w:tc>
      </w:tr>
      <w:tr w:rsidR="00850A44" w:rsidRPr="00F4779C" w:rsidTr="00DF378B">
        <w:trPr>
          <w:cantSplit/>
          <w:trHeight w:val="20"/>
        </w:trPr>
        <w:tc>
          <w:tcPr>
            <w:tcW w:w="3685"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Corporate</w:t>
            </w:r>
          </w:p>
        </w:tc>
        <w:tc>
          <w:tcPr>
            <w:tcW w:w="1474"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4 774</w:t>
            </w:r>
          </w:p>
        </w:tc>
        <w:tc>
          <w:tcPr>
            <w:tcW w:w="1474" w:type="dxa"/>
            <w:tcBorders>
              <w:top w:val="single" w:sz="12" w:space="0" w:color="D51366"/>
            </w:tcBorders>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5 630</w:t>
            </w:r>
          </w:p>
        </w:tc>
        <w:tc>
          <w:tcPr>
            <w:tcW w:w="1474" w:type="dxa"/>
            <w:tcBorders>
              <w:top w:val="single" w:sz="12" w:space="0" w:color="D51366"/>
            </w:tcBorders>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5 271</w:t>
            </w:r>
          </w:p>
        </w:tc>
        <w:tc>
          <w:tcPr>
            <w:tcW w:w="1531"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-15,20</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Cruise</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268</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438</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438</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-38,81</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Broadcast</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432</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2 871</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2 871</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-84,95</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Total</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5 474</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8 939</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8 580</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-38,76</w:t>
            </w:r>
          </w:p>
        </w:tc>
      </w:tr>
    </w:tbl>
    <w:p w:rsidR="00850A44" w:rsidRPr="00363ECC" w:rsidRDefault="00850A44" w:rsidP="004942B7">
      <w:pPr>
        <w:pStyle w:val="Formatlibre"/>
        <w:ind w:left="426" w:hanging="426"/>
        <w:rPr>
          <w:rFonts w:ascii="Verdana" w:hAnsi="Verdana" w:cs="Arial"/>
          <w:color w:val="4C4E53"/>
          <w:sz w:val="12"/>
          <w:szCs w:val="12"/>
        </w:rPr>
      </w:pPr>
      <w:r w:rsidRPr="00363ECC">
        <w:rPr>
          <w:rFonts w:ascii="Verdana" w:hAnsi="Verdana" w:cs="Arial"/>
          <w:color w:val="4C4E53"/>
          <w:sz w:val="12"/>
          <w:szCs w:val="12"/>
        </w:rPr>
        <w:t xml:space="preserve">(1) </w:t>
      </w:r>
      <w:r w:rsidRPr="00363ECC">
        <w:rPr>
          <w:rFonts w:ascii="Verdana" w:hAnsi="Verdana" w:cs="Arial"/>
          <w:color w:val="4C4E53"/>
          <w:sz w:val="12"/>
          <w:szCs w:val="12"/>
        </w:rPr>
        <w:tab/>
        <w:t>Déconsolidation de Video IEC España au 1</w:t>
      </w:r>
      <w:r w:rsidRPr="00363ECC">
        <w:rPr>
          <w:rFonts w:ascii="Verdana" w:hAnsi="Verdana" w:cs="Arial"/>
          <w:color w:val="4C4E53"/>
          <w:sz w:val="12"/>
          <w:szCs w:val="12"/>
          <w:vertAlign w:val="superscript"/>
        </w:rPr>
        <w:t>er</w:t>
      </w:r>
      <w:r w:rsidRPr="00363ECC">
        <w:rPr>
          <w:rFonts w:ascii="Verdana" w:hAnsi="Verdana" w:cs="Arial"/>
          <w:color w:val="4C4E53"/>
          <w:sz w:val="12"/>
          <w:szCs w:val="12"/>
        </w:rPr>
        <w:t> janvier 2012 (cf. 2.1 ci-dessus).</w:t>
      </w:r>
    </w:p>
    <w:p w:rsidR="00850A44" w:rsidRPr="00363ECC" w:rsidRDefault="00850A44" w:rsidP="004942B7">
      <w:pPr>
        <w:pStyle w:val="Formatlibre"/>
        <w:ind w:left="426" w:hanging="426"/>
        <w:rPr>
          <w:rFonts w:ascii="Verdana" w:hAnsi="Verdana" w:cs="Arial"/>
          <w:color w:val="4C4E53"/>
          <w:sz w:val="12"/>
          <w:szCs w:val="12"/>
        </w:rPr>
      </w:pPr>
      <w:r w:rsidRPr="00363ECC">
        <w:rPr>
          <w:rFonts w:ascii="Verdana" w:hAnsi="Verdana" w:cs="Arial"/>
          <w:color w:val="4C4E53"/>
          <w:sz w:val="12"/>
          <w:szCs w:val="12"/>
        </w:rPr>
        <w:t xml:space="preserve">(2) </w:t>
      </w:r>
      <w:r w:rsidRPr="00363ECC">
        <w:rPr>
          <w:rFonts w:ascii="Verdana" w:hAnsi="Verdana" w:cs="Arial"/>
          <w:color w:val="4C4E53"/>
          <w:sz w:val="12"/>
          <w:szCs w:val="12"/>
        </w:rPr>
        <w:tab/>
        <w:t>La variation est calculée sur la base du compte de résultat consolidé 2012 pro forma (cf. note 1 ci-dessus).</w:t>
      </w:r>
    </w:p>
    <w:p w:rsidR="00850A44" w:rsidRPr="00F4779C" w:rsidRDefault="00850A44" w:rsidP="004942B7">
      <w:pPr>
        <w:pStyle w:val="Formatlibre"/>
        <w:rPr>
          <w:rFonts w:ascii="Verdana" w:hAnsi="Verdana" w:cs="Arial"/>
          <w:color w:val="4C4E53"/>
          <w:sz w:val="16"/>
          <w:szCs w:val="16"/>
          <w:u w:color="000065"/>
        </w:rPr>
      </w:pPr>
    </w:p>
    <w:p w:rsidR="00850A44" w:rsidRPr="00F4779C" w:rsidRDefault="00850A44" w:rsidP="004942B7">
      <w:pPr>
        <w:pStyle w:val="Formatlibre"/>
        <w:keepNext/>
        <w:rPr>
          <w:rFonts w:ascii="Verdana" w:hAnsi="Verdana" w:cs="Arial"/>
          <w:b/>
          <w:i/>
          <w:color w:val="D51366"/>
          <w:sz w:val="16"/>
          <w:szCs w:val="16"/>
          <w:u w:color="000065"/>
        </w:rPr>
      </w:pPr>
      <w:r w:rsidRPr="00F4779C">
        <w:rPr>
          <w:rFonts w:ascii="Verdana" w:hAnsi="Verdana" w:cs="Arial"/>
          <w:b/>
          <w:i/>
          <w:color w:val="D51366"/>
          <w:sz w:val="16"/>
          <w:szCs w:val="16"/>
          <w:u w:color="000065"/>
        </w:rPr>
        <w:t>Analyse de la formation du résultat opérationnel courant</w:t>
      </w:r>
    </w:p>
    <w:p w:rsidR="00850A44" w:rsidRPr="00F4779C" w:rsidRDefault="00850A44" w:rsidP="004942B7">
      <w:pPr>
        <w:pStyle w:val="Formatlibre"/>
        <w:keepNext/>
        <w:rPr>
          <w:rFonts w:ascii="Verdana" w:hAnsi="Verdana" w:cs="Arial"/>
          <w:color w:val="4C4E53"/>
          <w:sz w:val="16"/>
          <w:szCs w:val="16"/>
          <w:u w:color="000065"/>
        </w:rPr>
      </w:pPr>
    </w:p>
    <w:tbl>
      <w:tblPr>
        <w:tblW w:w="0" w:type="auto"/>
        <w:tblInd w:w="80" w:type="dxa"/>
        <w:tblBorders>
          <w:top w:val="single" w:sz="2" w:space="0" w:color="4C4E53"/>
          <w:left w:val="single" w:sz="2" w:space="0" w:color="4C4E53"/>
          <w:bottom w:val="single" w:sz="2" w:space="0" w:color="4C4E53"/>
          <w:right w:val="single" w:sz="2" w:space="0" w:color="4C4E53"/>
          <w:insideH w:val="single" w:sz="2" w:space="0" w:color="4C4E53"/>
          <w:insideV w:val="single" w:sz="2" w:space="0" w:color="4C4E53"/>
        </w:tblBorders>
        <w:shd w:val="clear" w:color="auto" w:fill="FFFFFF"/>
        <w:tblLayout w:type="fixed"/>
        <w:tblLook w:val="0000"/>
      </w:tblPr>
      <w:tblGrid>
        <w:gridCol w:w="3685"/>
        <w:gridCol w:w="1474"/>
        <w:gridCol w:w="1474"/>
        <w:gridCol w:w="1474"/>
        <w:gridCol w:w="1531"/>
      </w:tblGrid>
      <w:tr w:rsidR="00850A44" w:rsidRPr="00F4779C" w:rsidTr="00DF378B">
        <w:trPr>
          <w:cantSplit/>
          <w:trHeight w:val="20"/>
        </w:trPr>
        <w:tc>
          <w:tcPr>
            <w:tcW w:w="3685"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En K€</w:t>
            </w:r>
          </w:p>
        </w:tc>
        <w:tc>
          <w:tcPr>
            <w:tcW w:w="1474" w:type="dxa"/>
            <w:tcBorders>
              <w:top w:val="single" w:sz="12" w:space="0" w:color="D51366"/>
              <w:left w:val="single" w:sz="12" w:space="0" w:color="D51366"/>
              <w:bottom w:val="single" w:sz="12" w:space="0" w:color="D51366"/>
              <w:right w:val="single" w:sz="12" w:space="0" w:color="D51366"/>
            </w:tcBorders>
            <w:shd w:val="clear" w:color="auto" w:fill="FFFFFF"/>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2013</w:t>
            </w:r>
          </w:p>
        </w:tc>
        <w:tc>
          <w:tcPr>
            <w:tcW w:w="1474"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725999"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 xml:space="preserve">2012 </w:t>
            </w:r>
          </w:p>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pro forma</w:t>
            </w:r>
            <w:r w:rsidRPr="00F4779C">
              <w:rPr>
                <w:rFonts w:ascii="Verdana" w:hAnsi="Verdana" w:cs="Arial"/>
                <w:b/>
                <w:color w:val="D51366"/>
                <w:sz w:val="14"/>
                <w:szCs w:val="14"/>
                <w:vertAlign w:val="superscript"/>
              </w:rPr>
              <w:t>(1)</w:t>
            </w:r>
          </w:p>
        </w:tc>
        <w:tc>
          <w:tcPr>
            <w:tcW w:w="1474" w:type="dxa"/>
            <w:tcBorders>
              <w:top w:val="single" w:sz="12" w:space="0" w:color="D51366"/>
              <w:left w:val="single" w:sz="12" w:space="0" w:color="D51366"/>
              <w:bottom w:val="single" w:sz="12" w:space="0" w:color="D51366"/>
              <w:right w:val="single" w:sz="12" w:space="0" w:color="D51366"/>
            </w:tcBorders>
            <w:shd w:val="clear" w:color="auto" w:fill="FFFFFF"/>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2012</w:t>
            </w:r>
          </w:p>
        </w:tc>
        <w:tc>
          <w:tcPr>
            <w:tcW w:w="1531"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Evo</w:t>
            </w:r>
            <w:r w:rsidR="00725999" w:rsidRPr="00F4779C">
              <w:rPr>
                <w:rFonts w:ascii="Verdana" w:hAnsi="Verdana" w:cs="Arial"/>
                <w:b/>
                <w:color w:val="D51366"/>
                <w:sz w:val="14"/>
                <w:szCs w:val="14"/>
              </w:rPr>
              <w:t>lution 2012/2013</w:t>
            </w:r>
            <w:r w:rsidR="00312BB9" w:rsidRPr="00F4779C">
              <w:rPr>
                <w:rFonts w:ascii="Verdana" w:hAnsi="Verdana" w:cs="Arial"/>
                <w:b/>
                <w:color w:val="D51366"/>
                <w:sz w:val="14"/>
                <w:szCs w:val="14"/>
              </w:rPr>
              <w:t xml:space="preserve"> </w:t>
            </w:r>
            <w:r w:rsidRPr="00F4779C">
              <w:rPr>
                <w:rFonts w:ascii="Verdana" w:hAnsi="Verdana" w:cs="Arial"/>
                <w:b/>
                <w:color w:val="D51366"/>
                <w:sz w:val="14"/>
                <w:szCs w:val="14"/>
              </w:rPr>
              <w:t>(%)</w:t>
            </w:r>
            <w:r w:rsidRPr="00F4779C">
              <w:rPr>
                <w:rFonts w:ascii="Verdana" w:hAnsi="Verdana" w:cs="Arial"/>
                <w:b/>
                <w:color w:val="D51366"/>
                <w:sz w:val="14"/>
                <w:szCs w:val="14"/>
                <w:vertAlign w:val="superscript"/>
              </w:rPr>
              <w:t>(2)</w:t>
            </w:r>
          </w:p>
        </w:tc>
      </w:tr>
      <w:tr w:rsidR="00850A44" w:rsidRPr="00F4779C" w:rsidTr="00DF378B">
        <w:trPr>
          <w:cantSplit/>
          <w:trHeight w:val="20"/>
        </w:trPr>
        <w:tc>
          <w:tcPr>
            <w:tcW w:w="3685"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Chiffre d’affaires net</w:t>
            </w:r>
          </w:p>
        </w:tc>
        <w:tc>
          <w:tcPr>
            <w:tcW w:w="1474" w:type="dxa"/>
            <w:tcBorders>
              <w:top w:val="single" w:sz="12" w:space="0" w:color="D51366"/>
            </w:tcBorders>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176 515</w:t>
            </w:r>
          </w:p>
        </w:tc>
        <w:tc>
          <w:tcPr>
            <w:tcW w:w="1474"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185 020</w:t>
            </w:r>
          </w:p>
        </w:tc>
        <w:tc>
          <w:tcPr>
            <w:tcW w:w="1474" w:type="dxa"/>
            <w:tcBorders>
              <w:top w:val="single" w:sz="12" w:space="0" w:color="D51366"/>
            </w:tcBorders>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186 748</w:t>
            </w:r>
          </w:p>
        </w:tc>
        <w:tc>
          <w:tcPr>
            <w:tcW w:w="1531"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-4,60</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Achats consommés</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-81 798</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-91 272</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-92 402</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-10,38</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Marge sur achats consommés</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94 717</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93 748</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94 346</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1,03</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Marge sur achats consommés</w:t>
            </w:r>
            <w:r w:rsidRPr="00F4779C">
              <w:rPr>
                <w:rFonts w:ascii="Verdana" w:hAnsi="Verdana" w:cs="Arial"/>
                <w:i/>
                <w:color w:val="4C4E53"/>
                <w:sz w:val="14"/>
                <w:szCs w:val="14"/>
                <w:vertAlign w:val="superscript"/>
              </w:rPr>
              <w:t>(3)</w:t>
            </w:r>
          </w:p>
        </w:tc>
        <w:tc>
          <w:tcPr>
            <w:tcW w:w="1474" w:type="dxa"/>
            <w:shd w:val="clear" w:color="auto" w:fill="FFFFFF"/>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53,66 %</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50,67 %</w:t>
            </w:r>
          </w:p>
        </w:tc>
        <w:tc>
          <w:tcPr>
            <w:tcW w:w="1474" w:type="dxa"/>
            <w:shd w:val="clear" w:color="auto" w:fill="FFFFFF"/>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50,52 %</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Charges externes</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-37 632</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-38 214</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-38 479</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-1,52</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Charges de personnel</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-45 842</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-41 406</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-41 951</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10,71</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Impôts et taxes</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-1 968</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-1 602</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-1 602</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22,85</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Dotation aux amortissements</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-3 672</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-3 652</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-3 798</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0,55</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Dotations aux provisions</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-495</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-514</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-498</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-3,7</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Autres produits et charges d’exploitation</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367</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578</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561</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-36,51</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Résultat opérationnel courant</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5 474</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8 939</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8 580</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-38,76</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Autres produits et charges opérationnels</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-1 044</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-1 579</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-2 174</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-33,88</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 xml:space="preserve">Résultat opérationnel </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4 430</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7 360</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6 406</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-39,81</w:t>
            </w:r>
          </w:p>
        </w:tc>
      </w:tr>
    </w:tbl>
    <w:p w:rsidR="00850A44" w:rsidRPr="00363ECC" w:rsidRDefault="00850A44" w:rsidP="004942B7">
      <w:pPr>
        <w:pStyle w:val="Formatlibre"/>
        <w:keepNext/>
        <w:ind w:left="426" w:hanging="426"/>
        <w:rPr>
          <w:rFonts w:ascii="Verdana" w:hAnsi="Verdana" w:cs="Arial"/>
          <w:color w:val="4C4E53"/>
          <w:sz w:val="12"/>
          <w:szCs w:val="12"/>
        </w:rPr>
      </w:pPr>
      <w:r w:rsidRPr="00363ECC">
        <w:rPr>
          <w:rFonts w:ascii="Verdana" w:hAnsi="Verdana" w:cs="Arial"/>
          <w:color w:val="4C4E53"/>
          <w:sz w:val="12"/>
          <w:szCs w:val="12"/>
        </w:rPr>
        <w:t xml:space="preserve">(1) </w:t>
      </w:r>
      <w:r w:rsidRPr="00363ECC">
        <w:rPr>
          <w:rFonts w:ascii="Verdana" w:hAnsi="Verdana" w:cs="Arial"/>
          <w:color w:val="4C4E53"/>
          <w:sz w:val="12"/>
          <w:szCs w:val="12"/>
        </w:rPr>
        <w:tab/>
        <w:t>Déconsolidation de Video IEC España au 1</w:t>
      </w:r>
      <w:r w:rsidRPr="00363ECC">
        <w:rPr>
          <w:rFonts w:ascii="Verdana" w:hAnsi="Verdana" w:cs="Arial"/>
          <w:color w:val="4C4E53"/>
          <w:sz w:val="12"/>
          <w:szCs w:val="12"/>
          <w:vertAlign w:val="superscript"/>
        </w:rPr>
        <w:t>er</w:t>
      </w:r>
      <w:r w:rsidRPr="00363ECC">
        <w:rPr>
          <w:rFonts w:ascii="Verdana" w:hAnsi="Verdana" w:cs="Arial"/>
          <w:color w:val="4C4E53"/>
          <w:sz w:val="12"/>
          <w:szCs w:val="12"/>
        </w:rPr>
        <w:t> janvier 2012 (cf. 2.1 ci-dessus).</w:t>
      </w:r>
    </w:p>
    <w:p w:rsidR="00850A44" w:rsidRPr="00363ECC" w:rsidRDefault="00850A44" w:rsidP="004942B7">
      <w:pPr>
        <w:pStyle w:val="Formatlibre"/>
        <w:keepNext/>
        <w:ind w:left="426" w:hanging="426"/>
        <w:rPr>
          <w:rFonts w:ascii="Verdana" w:hAnsi="Verdana" w:cs="Arial"/>
          <w:color w:val="4C4E53"/>
          <w:sz w:val="12"/>
          <w:szCs w:val="12"/>
        </w:rPr>
      </w:pPr>
      <w:r w:rsidRPr="00363ECC">
        <w:rPr>
          <w:rFonts w:ascii="Verdana" w:hAnsi="Verdana" w:cs="Arial"/>
          <w:color w:val="4C4E53"/>
          <w:sz w:val="12"/>
          <w:szCs w:val="12"/>
        </w:rPr>
        <w:t xml:space="preserve">(2) </w:t>
      </w:r>
      <w:r w:rsidRPr="00363ECC">
        <w:rPr>
          <w:rFonts w:ascii="Verdana" w:hAnsi="Verdana" w:cs="Arial"/>
          <w:color w:val="4C4E53"/>
          <w:sz w:val="12"/>
          <w:szCs w:val="12"/>
        </w:rPr>
        <w:tab/>
        <w:t>La variation est calculée sur la base du compte de résultat consolidé 2012 pro forma (cf. note 1 ci-dessus).</w:t>
      </w:r>
    </w:p>
    <w:p w:rsidR="00850A44" w:rsidRPr="00363ECC" w:rsidRDefault="00850A44" w:rsidP="004942B7">
      <w:pPr>
        <w:pStyle w:val="Formatlibre"/>
        <w:keepNext/>
        <w:tabs>
          <w:tab w:val="left" w:pos="426"/>
        </w:tabs>
        <w:rPr>
          <w:rFonts w:ascii="Verdana" w:hAnsi="Verdana" w:cs="Arial"/>
          <w:color w:val="4C4E53"/>
          <w:sz w:val="12"/>
          <w:szCs w:val="12"/>
        </w:rPr>
      </w:pPr>
      <w:r w:rsidRPr="00363ECC">
        <w:rPr>
          <w:rFonts w:ascii="Verdana" w:hAnsi="Verdana" w:cs="Arial"/>
          <w:color w:val="4C4E53"/>
          <w:sz w:val="12"/>
          <w:szCs w:val="12"/>
        </w:rPr>
        <w:t xml:space="preserve">(3) </w:t>
      </w:r>
      <w:r w:rsidRPr="00363ECC">
        <w:rPr>
          <w:rFonts w:ascii="Verdana" w:hAnsi="Verdana" w:cs="Arial"/>
          <w:color w:val="4C4E53"/>
          <w:sz w:val="12"/>
          <w:szCs w:val="12"/>
        </w:rPr>
        <w:tab/>
        <w:t>Soit le ratio (chiffre d’affaires- Achats consommés)/ Chiffre d’affaires).</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Au 31 décembre 2013, la marge sur achats consommés s’établit à 53,66 % contre 50,67 % au 31 décembre 2012.</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 xml:space="preserve">Les autres charges externes s’élèvent à 37 632 K€ en 2013 contre 38 214 K€ en 2012. Leur poids relativement au chiffre d’affaires s’établit à 21,32 % contre 20,65 % en 2012. </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Les frais de personnel passent de 41 406 K€ en 2012 à 45 842 K€ en 2013. L'impact, en année pleine, des acquisitions de l'exercice 2012 expliquent, pour l’essentiel, cette augmentation.</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 xml:space="preserve">Les amortissements </w:t>
      </w:r>
      <w:r w:rsidR="00A57827" w:rsidRPr="00F4779C">
        <w:rPr>
          <w:rFonts w:ascii="Verdana" w:hAnsi="Verdana" w:cs="Arial"/>
          <w:color w:val="4C4E53"/>
          <w:sz w:val="16"/>
          <w:szCs w:val="16"/>
        </w:rPr>
        <w:t>sont stables</w:t>
      </w:r>
      <w:r w:rsidRPr="00F4779C">
        <w:rPr>
          <w:rFonts w:ascii="Verdana" w:hAnsi="Verdana" w:cs="Arial"/>
          <w:color w:val="4C4E53"/>
          <w:sz w:val="16"/>
          <w:szCs w:val="16"/>
        </w:rPr>
        <w:t xml:space="preserve"> à 3 672 K€ contre 3 652 K€ en 2012.</w:t>
      </w: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 xml:space="preserve"> </w:t>
      </w: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Les provisions et dépréciations sont en diminution de 3,70 % et s’établissent à 495 K€ en 2013 contre 514 K€ en 2012.</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 xml:space="preserve">Au 31 décembre 2013, le résultat opérationnel courant dégagé est positif de 5 474 K€ contre un résultat opérationnel courant positif de 8 939 K€ au 31 décembre 2012, soit une diminution de 38,76 %. </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Les autres produits et charges opérationnels s'élèvent à 1 044 K€ contre 1 579 K€ en 2012. Pour mémoire, en 2012, ils étaient notamment composés des frais et provisions liés aux acquisitions pour 961 K€ (Timecode Services, G2J.Com, fonds de commerce Kezia et Soft) et des frais et provisions liés au personnel pour un montant de 663 K€. En 2013, ils comprennent notamment des coûts de restructuration.</w:t>
      </w: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 xml:space="preserve"> </w:t>
      </w: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Le résultat opérationnel est positif de 4 430 K€ en 2013 contre un résultat opérationnel de 7 360 K€ en 2012.</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keepNext/>
        <w:rPr>
          <w:rFonts w:ascii="Verdana" w:hAnsi="Verdana" w:cs="Arial"/>
          <w:b/>
          <w:i/>
          <w:color w:val="D51366"/>
          <w:sz w:val="16"/>
          <w:szCs w:val="16"/>
          <w:u w:color="000065"/>
        </w:rPr>
      </w:pPr>
      <w:r w:rsidRPr="00F4779C">
        <w:rPr>
          <w:rFonts w:ascii="Verdana" w:hAnsi="Verdana" w:cs="Arial"/>
          <w:b/>
          <w:i/>
          <w:color w:val="D51366"/>
          <w:sz w:val="16"/>
          <w:szCs w:val="16"/>
          <w:u w:color="000065"/>
        </w:rPr>
        <w:t xml:space="preserve">Détail du bas du compte de résultat </w:t>
      </w:r>
    </w:p>
    <w:p w:rsidR="00850A44" w:rsidRPr="00F4779C" w:rsidRDefault="00850A44" w:rsidP="004942B7">
      <w:pPr>
        <w:pStyle w:val="Formatlibre"/>
        <w:keepNext/>
        <w:rPr>
          <w:rFonts w:ascii="Verdana" w:hAnsi="Verdana" w:cs="Arial"/>
          <w:color w:val="4C4E53"/>
          <w:sz w:val="16"/>
          <w:szCs w:val="16"/>
          <w:u w:color="000065"/>
        </w:rPr>
      </w:pPr>
    </w:p>
    <w:tbl>
      <w:tblPr>
        <w:tblW w:w="0" w:type="auto"/>
        <w:tblInd w:w="80" w:type="dxa"/>
        <w:tblBorders>
          <w:top w:val="single" w:sz="2" w:space="0" w:color="4C4E53"/>
          <w:left w:val="single" w:sz="2" w:space="0" w:color="4C4E53"/>
          <w:bottom w:val="single" w:sz="2" w:space="0" w:color="4C4E53"/>
          <w:right w:val="single" w:sz="2" w:space="0" w:color="4C4E53"/>
          <w:insideH w:val="single" w:sz="2" w:space="0" w:color="4C4E53"/>
          <w:insideV w:val="single" w:sz="2" w:space="0" w:color="4C4E53"/>
        </w:tblBorders>
        <w:shd w:val="clear" w:color="auto" w:fill="FFFFFF"/>
        <w:tblLayout w:type="fixed"/>
        <w:tblLook w:val="0000"/>
      </w:tblPr>
      <w:tblGrid>
        <w:gridCol w:w="3685"/>
        <w:gridCol w:w="1474"/>
        <w:gridCol w:w="1474"/>
        <w:gridCol w:w="1474"/>
        <w:gridCol w:w="1531"/>
      </w:tblGrid>
      <w:tr w:rsidR="00850A44" w:rsidRPr="00F4779C" w:rsidTr="00DF378B">
        <w:trPr>
          <w:cantSplit/>
          <w:trHeight w:val="20"/>
        </w:trPr>
        <w:tc>
          <w:tcPr>
            <w:tcW w:w="3685"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En K€</w:t>
            </w:r>
          </w:p>
        </w:tc>
        <w:tc>
          <w:tcPr>
            <w:tcW w:w="1474" w:type="dxa"/>
            <w:tcBorders>
              <w:top w:val="single" w:sz="12" w:space="0" w:color="D51366"/>
              <w:left w:val="single" w:sz="12" w:space="0" w:color="D51366"/>
              <w:bottom w:val="single" w:sz="12" w:space="0" w:color="D51366"/>
              <w:right w:val="single" w:sz="12" w:space="0" w:color="D51366"/>
            </w:tcBorders>
            <w:shd w:val="clear" w:color="auto" w:fill="FFFFFF"/>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2013</w:t>
            </w:r>
          </w:p>
        </w:tc>
        <w:tc>
          <w:tcPr>
            <w:tcW w:w="1474"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725999"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 xml:space="preserve">2012 </w:t>
            </w:r>
          </w:p>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pro forma</w:t>
            </w:r>
            <w:r w:rsidRPr="00F4779C">
              <w:rPr>
                <w:rFonts w:ascii="Verdana" w:hAnsi="Verdana" w:cs="Arial"/>
                <w:b/>
                <w:color w:val="D51366"/>
                <w:sz w:val="14"/>
                <w:szCs w:val="14"/>
                <w:vertAlign w:val="superscript"/>
              </w:rPr>
              <w:t>(1)</w:t>
            </w:r>
          </w:p>
        </w:tc>
        <w:tc>
          <w:tcPr>
            <w:tcW w:w="1474" w:type="dxa"/>
            <w:tcBorders>
              <w:top w:val="single" w:sz="12" w:space="0" w:color="D51366"/>
              <w:left w:val="single" w:sz="12" w:space="0" w:color="D51366"/>
              <w:bottom w:val="single" w:sz="12" w:space="0" w:color="D51366"/>
              <w:right w:val="single" w:sz="12" w:space="0" w:color="D51366"/>
            </w:tcBorders>
            <w:shd w:val="clear" w:color="auto" w:fill="FFFFFF"/>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2012</w:t>
            </w:r>
          </w:p>
        </w:tc>
        <w:tc>
          <w:tcPr>
            <w:tcW w:w="1531"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725999"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Evolution 2012/2013</w:t>
            </w:r>
            <w:r w:rsidR="00312BB9" w:rsidRPr="00F4779C">
              <w:rPr>
                <w:rFonts w:ascii="Verdana" w:hAnsi="Verdana" w:cs="Arial"/>
                <w:b/>
                <w:color w:val="D51366"/>
                <w:sz w:val="14"/>
                <w:szCs w:val="14"/>
              </w:rPr>
              <w:t xml:space="preserve"> </w:t>
            </w:r>
            <w:r w:rsidR="00850A44" w:rsidRPr="00F4779C">
              <w:rPr>
                <w:rFonts w:ascii="Verdana" w:hAnsi="Verdana" w:cs="Arial"/>
                <w:b/>
                <w:color w:val="D51366"/>
                <w:sz w:val="14"/>
                <w:szCs w:val="14"/>
              </w:rPr>
              <w:t>(%)</w:t>
            </w:r>
            <w:r w:rsidR="00850A44" w:rsidRPr="00F4779C">
              <w:rPr>
                <w:rFonts w:ascii="Verdana" w:hAnsi="Verdana" w:cs="Arial"/>
                <w:b/>
                <w:color w:val="D51366"/>
                <w:sz w:val="14"/>
                <w:szCs w:val="14"/>
                <w:vertAlign w:val="superscript"/>
              </w:rPr>
              <w:t>(2)</w:t>
            </w:r>
          </w:p>
        </w:tc>
      </w:tr>
      <w:tr w:rsidR="00850A44" w:rsidRPr="00F4779C" w:rsidTr="00DF378B">
        <w:trPr>
          <w:cantSplit/>
          <w:trHeight w:val="20"/>
        </w:trPr>
        <w:tc>
          <w:tcPr>
            <w:tcW w:w="3685"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 xml:space="preserve">Résultat opérationnel </w:t>
            </w:r>
          </w:p>
        </w:tc>
        <w:tc>
          <w:tcPr>
            <w:tcW w:w="1474" w:type="dxa"/>
            <w:tcBorders>
              <w:top w:val="single" w:sz="12" w:space="0" w:color="D51366"/>
            </w:tcBorders>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4 430</w:t>
            </w:r>
          </w:p>
        </w:tc>
        <w:tc>
          <w:tcPr>
            <w:tcW w:w="1474"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7 360</w:t>
            </w:r>
          </w:p>
        </w:tc>
        <w:tc>
          <w:tcPr>
            <w:tcW w:w="1474" w:type="dxa"/>
            <w:tcBorders>
              <w:top w:val="single" w:sz="12" w:space="0" w:color="D51366"/>
            </w:tcBorders>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6 406</w:t>
            </w:r>
          </w:p>
        </w:tc>
        <w:tc>
          <w:tcPr>
            <w:tcW w:w="1531"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-39,81</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Quote-part de résultat des sociétés MEE</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-7</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Résultat opérationnel après quote-part de résultat net des sociétés MEE</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4 423</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7 360</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6 406</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-39,91</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Produits de trésorerie et équivalents de trésorerie</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 xml:space="preserve">2 </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 xml:space="preserve">2 </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-50,00</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Coût de l’endettement financier brut</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-763</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-780</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-791</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2,18</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Coût de l’endettement financier net</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-762</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-778</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-789</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2,06</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Autres charges et produits financiers</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9</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116</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88</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-92,24</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Résultat net avant impôt</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3 670</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6 698</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5 705</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-45,21</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Charge d’impôt</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-685</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-1 703</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-1 703</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59,78</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Résultat net de l’ensemble consolidé</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2 985</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4 995</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4 002</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-40,24</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Part des intérêts minoritaires</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Résultat net part du groupe</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2 985</w:t>
            </w:r>
          </w:p>
        </w:tc>
        <w:tc>
          <w:tcPr>
            <w:tcW w:w="1474"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4 995</w:t>
            </w:r>
          </w:p>
        </w:tc>
        <w:tc>
          <w:tcPr>
            <w:tcW w:w="1474"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4 002</w:t>
            </w:r>
          </w:p>
        </w:tc>
        <w:tc>
          <w:tcPr>
            <w:tcW w:w="153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-40,24</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 xml:space="preserve">Résultat de base par action </w:t>
            </w:r>
          </w:p>
        </w:tc>
        <w:tc>
          <w:tcPr>
            <w:tcW w:w="1474" w:type="dxa"/>
          </w:tcPr>
          <w:p w:rsidR="00850A44" w:rsidRPr="00F4779C" w:rsidRDefault="00850A44" w:rsidP="004942B7">
            <w:pPr>
              <w:pStyle w:val="Formatlibre"/>
              <w:keepNext/>
              <w:rPr>
                <w:rFonts w:ascii="Verdana" w:eastAsia="Lucida Grande" w:hAnsi="Verdana" w:cs="Arial"/>
                <w:color w:val="4C4E53"/>
                <w:sz w:val="14"/>
                <w:szCs w:val="14"/>
              </w:rPr>
            </w:pPr>
            <w:r w:rsidRPr="00F4779C">
              <w:rPr>
                <w:rFonts w:ascii="Verdana" w:eastAsia="Lucida Grande" w:hAnsi="Verdana" w:cs="Arial"/>
                <w:color w:val="4C4E53"/>
                <w:sz w:val="14"/>
                <w:szCs w:val="14"/>
              </w:rPr>
              <w:t>0,12 €</w:t>
            </w:r>
          </w:p>
        </w:tc>
        <w:tc>
          <w:tcPr>
            <w:tcW w:w="1474" w:type="dxa"/>
            <w:shd w:val="clear" w:color="auto" w:fill="auto"/>
            <w:tcMar>
              <w:top w:w="80" w:type="dxa"/>
              <w:left w:w="80" w:type="dxa"/>
              <w:bottom w:w="80" w:type="dxa"/>
              <w:right w:w="80" w:type="dxa"/>
            </w:tcMar>
          </w:tcPr>
          <w:p w:rsidR="00850A44" w:rsidRPr="00F4779C" w:rsidRDefault="00850A44" w:rsidP="004942B7">
            <w:pPr>
              <w:pStyle w:val="Formatlibre"/>
              <w:keepNext/>
              <w:rPr>
                <w:rFonts w:ascii="Verdana" w:eastAsia="Lucida Grande" w:hAnsi="Verdana" w:cs="Arial"/>
                <w:color w:val="4C4E53"/>
                <w:sz w:val="14"/>
                <w:szCs w:val="14"/>
              </w:rPr>
            </w:pPr>
            <w:r w:rsidRPr="00F4779C">
              <w:rPr>
                <w:rFonts w:ascii="Verdana" w:eastAsia="Lucida Grande" w:hAnsi="Verdana" w:cs="Arial"/>
                <w:color w:val="4C4E53"/>
                <w:sz w:val="14"/>
                <w:szCs w:val="14"/>
              </w:rPr>
              <w:t>0,21 €</w:t>
            </w:r>
          </w:p>
        </w:tc>
        <w:tc>
          <w:tcPr>
            <w:tcW w:w="1474" w:type="dxa"/>
            <w:shd w:val="clear" w:color="auto" w:fill="auto"/>
          </w:tcPr>
          <w:p w:rsidR="00850A44" w:rsidRPr="00F4779C" w:rsidRDefault="00850A44" w:rsidP="004942B7">
            <w:pPr>
              <w:pStyle w:val="Formatlibre"/>
              <w:keepNext/>
              <w:rPr>
                <w:rFonts w:ascii="Verdana" w:eastAsia="Lucida Grande" w:hAnsi="Verdana" w:cs="Arial"/>
                <w:color w:val="4C4E53"/>
                <w:sz w:val="14"/>
                <w:szCs w:val="14"/>
              </w:rPr>
            </w:pPr>
            <w:r w:rsidRPr="00F4779C">
              <w:rPr>
                <w:rFonts w:ascii="Verdana" w:eastAsia="Lucida Grande" w:hAnsi="Verdana" w:cs="Arial"/>
                <w:color w:val="4C4E53"/>
                <w:sz w:val="14"/>
                <w:szCs w:val="14"/>
              </w:rPr>
              <w:t>0,17 €</w:t>
            </w:r>
          </w:p>
        </w:tc>
        <w:tc>
          <w:tcPr>
            <w:tcW w:w="1531" w:type="dxa"/>
            <w:shd w:val="clear" w:color="auto" w:fill="auto"/>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-42,86</w:t>
            </w:r>
          </w:p>
        </w:tc>
      </w:tr>
      <w:tr w:rsidR="00850A44" w:rsidRPr="00F4779C" w:rsidTr="00B21E93">
        <w:trPr>
          <w:cantSplit/>
          <w:trHeight w:val="20"/>
        </w:trPr>
        <w:tc>
          <w:tcPr>
            <w:tcW w:w="368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Résultat dilué par action</w:t>
            </w:r>
          </w:p>
        </w:tc>
        <w:tc>
          <w:tcPr>
            <w:tcW w:w="1474" w:type="dxa"/>
          </w:tcPr>
          <w:p w:rsidR="00850A44" w:rsidRPr="00F4779C" w:rsidRDefault="00850A44" w:rsidP="004942B7">
            <w:pPr>
              <w:pStyle w:val="Formatlibre"/>
              <w:keepNext/>
              <w:rPr>
                <w:rFonts w:ascii="Verdana" w:eastAsia="Lucida Grande" w:hAnsi="Verdana" w:cs="Arial"/>
                <w:color w:val="4C4E53"/>
                <w:sz w:val="14"/>
                <w:szCs w:val="14"/>
              </w:rPr>
            </w:pPr>
            <w:r w:rsidRPr="00F4779C">
              <w:rPr>
                <w:rFonts w:ascii="Verdana" w:eastAsia="Lucida Grande" w:hAnsi="Verdana" w:cs="Arial"/>
                <w:color w:val="4C4E53"/>
                <w:sz w:val="14"/>
                <w:szCs w:val="14"/>
              </w:rPr>
              <w:t>0,12 €</w:t>
            </w:r>
          </w:p>
        </w:tc>
        <w:tc>
          <w:tcPr>
            <w:tcW w:w="1474" w:type="dxa"/>
            <w:shd w:val="clear" w:color="auto" w:fill="auto"/>
            <w:tcMar>
              <w:top w:w="80" w:type="dxa"/>
              <w:left w:w="80" w:type="dxa"/>
              <w:bottom w:w="80" w:type="dxa"/>
              <w:right w:w="80" w:type="dxa"/>
            </w:tcMar>
          </w:tcPr>
          <w:p w:rsidR="00850A44" w:rsidRPr="00F4779C" w:rsidRDefault="00850A44" w:rsidP="004942B7">
            <w:pPr>
              <w:pStyle w:val="Formatlibre"/>
              <w:keepNext/>
              <w:rPr>
                <w:rFonts w:ascii="Verdana" w:eastAsia="Lucida Grande" w:hAnsi="Verdana" w:cs="Arial"/>
                <w:color w:val="4C4E53"/>
                <w:sz w:val="14"/>
                <w:szCs w:val="14"/>
              </w:rPr>
            </w:pPr>
            <w:r w:rsidRPr="00F4779C">
              <w:rPr>
                <w:rFonts w:ascii="Verdana" w:eastAsia="Lucida Grande" w:hAnsi="Verdana" w:cs="Arial"/>
                <w:color w:val="4C4E53"/>
                <w:sz w:val="14"/>
                <w:szCs w:val="14"/>
              </w:rPr>
              <w:t>0,21 €</w:t>
            </w:r>
          </w:p>
        </w:tc>
        <w:tc>
          <w:tcPr>
            <w:tcW w:w="1474" w:type="dxa"/>
            <w:shd w:val="clear" w:color="auto" w:fill="auto"/>
          </w:tcPr>
          <w:p w:rsidR="00850A44" w:rsidRPr="00F4779C" w:rsidRDefault="00850A44" w:rsidP="004942B7">
            <w:pPr>
              <w:pStyle w:val="Formatlibre"/>
              <w:keepNext/>
              <w:rPr>
                <w:rFonts w:ascii="Verdana" w:eastAsia="Lucida Grande" w:hAnsi="Verdana" w:cs="Arial"/>
                <w:color w:val="4C4E53"/>
                <w:sz w:val="14"/>
                <w:szCs w:val="14"/>
              </w:rPr>
            </w:pPr>
            <w:r w:rsidRPr="00F4779C">
              <w:rPr>
                <w:rFonts w:ascii="Verdana" w:eastAsia="Lucida Grande" w:hAnsi="Verdana" w:cs="Arial"/>
                <w:color w:val="4C4E53"/>
                <w:sz w:val="14"/>
                <w:szCs w:val="14"/>
              </w:rPr>
              <w:t>0,17 €</w:t>
            </w:r>
          </w:p>
        </w:tc>
        <w:tc>
          <w:tcPr>
            <w:tcW w:w="1531" w:type="dxa"/>
            <w:shd w:val="clear" w:color="auto" w:fill="auto"/>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-42,86</w:t>
            </w:r>
          </w:p>
        </w:tc>
      </w:tr>
    </w:tbl>
    <w:p w:rsidR="00850A44" w:rsidRPr="00363ECC" w:rsidRDefault="00850A44" w:rsidP="004942B7">
      <w:pPr>
        <w:pStyle w:val="Formatlibre"/>
        <w:keepNext/>
        <w:ind w:left="426" w:hanging="426"/>
        <w:rPr>
          <w:rFonts w:ascii="Verdana" w:hAnsi="Verdana" w:cs="Arial"/>
          <w:color w:val="4C4E53"/>
          <w:sz w:val="12"/>
          <w:szCs w:val="12"/>
        </w:rPr>
      </w:pPr>
      <w:r w:rsidRPr="00363ECC">
        <w:rPr>
          <w:rFonts w:ascii="Verdana" w:hAnsi="Verdana" w:cs="Arial"/>
          <w:color w:val="4C4E53"/>
          <w:sz w:val="12"/>
          <w:szCs w:val="12"/>
        </w:rPr>
        <w:t xml:space="preserve">(1) </w:t>
      </w:r>
      <w:r w:rsidRPr="00363ECC">
        <w:rPr>
          <w:rFonts w:ascii="Verdana" w:hAnsi="Verdana" w:cs="Arial"/>
          <w:color w:val="4C4E53"/>
          <w:sz w:val="12"/>
          <w:szCs w:val="12"/>
        </w:rPr>
        <w:tab/>
        <w:t>Déconsolidation de Video IEC España au 1</w:t>
      </w:r>
      <w:r w:rsidRPr="00363ECC">
        <w:rPr>
          <w:rFonts w:ascii="Verdana" w:hAnsi="Verdana" w:cs="Arial"/>
          <w:color w:val="4C4E53"/>
          <w:sz w:val="12"/>
          <w:szCs w:val="12"/>
          <w:vertAlign w:val="superscript"/>
        </w:rPr>
        <w:t>er</w:t>
      </w:r>
      <w:r w:rsidRPr="00363ECC">
        <w:rPr>
          <w:rFonts w:ascii="Verdana" w:hAnsi="Verdana" w:cs="Arial"/>
          <w:color w:val="4C4E53"/>
          <w:sz w:val="12"/>
          <w:szCs w:val="12"/>
        </w:rPr>
        <w:t> janvier 2012 (cf. 2.1 ci-dessus).</w:t>
      </w:r>
    </w:p>
    <w:p w:rsidR="00850A44" w:rsidRPr="00363ECC" w:rsidRDefault="00850A44" w:rsidP="004942B7">
      <w:pPr>
        <w:pStyle w:val="Formatlibre"/>
        <w:keepNext/>
        <w:ind w:left="426" w:hanging="426"/>
        <w:rPr>
          <w:rFonts w:ascii="Verdana" w:hAnsi="Verdana" w:cs="Arial"/>
          <w:color w:val="4C4E53"/>
          <w:sz w:val="12"/>
          <w:szCs w:val="12"/>
        </w:rPr>
      </w:pPr>
      <w:r w:rsidRPr="00363ECC">
        <w:rPr>
          <w:rFonts w:ascii="Verdana" w:hAnsi="Verdana" w:cs="Arial"/>
          <w:color w:val="4C4E53"/>
          <w:sz w:val="12"/>
          <w:szCs w:val="12"/>
        </w:rPr>
        <w:t xml:space="preserve">(2) </w:t>
      </w:r>
      <w:r w:rsidRPr="00363ECC">
        <w:rPr>
          <w:rFonts w:ascii="Verdana" w:hAnsi="Verdana" w:cs="Arial"/>
          <w:color w:val="4C4E53"/>
          <w:sz w:val="12"/>
          <w:szCs w:val="12"/>
        </w:rPr>
        <w:tab/>
        <w:t>La variation est calculée sur la base du compte de résultat consolidé 2012 pro forma (cf. note 1 ci-dessus).</w:t>
      </w:r>
    </w:p>
    <w:p w:rsidR="00850A44" w:rsidRPr="00F4779C" w:rsidRDefault="00850A44" w:rsidP="004942B7">
      <w:pPr>
        <w:pStyle w:val="Formatlibre"/>
        <w:jc w:val="both"/>
        <w:rPr>
          <w:rFonts w:ascii="Verdana" w:hAnsi="Verdana" w:cs="Arial"/>
          <w:color w:val="4C4E53"/>
          <w:sz w:val="16"/>
          <w:szCs w:val="16"/>
          <w:u w:color="000065"/>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 xml:space="preserve">Le coût de l’endettement financier net s’élève à </w:t>
      </w:r>
      <w:r w:rsidRPr="00F4779C">
        <w:rPr>
          <w:rFonts w:ascii="Verdana" w:hAnsi="Verdana" w:cs="Arial"/>
          <w:color w:val="4C4E53"/>
          <w:sz w:val="16"/>
          <w:szCs w:val="16"/>
        </w:rPr>
        <w:noBreakHyphen/>
        <w:t>762 K€ en 2013 contre -778K€ en 2012.</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La variation des autres charges et produits financiers résulte essentiellement de la variation de change.</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Le résultat net consolidé avant impôt est positif de 3 670 K€ contre 6 698 K€ en 2012, soit une diminution de 45,21 %. Cette baisse du résultat est principalement liée aux pertes des sociétés VIDELIO - Preview (</w:t>
      </w:r>
      <w:r w:rsidRPr="00F4779C">
        <w:rPr>
          <w:rFonts w:ascii="Verdana" w:hAnsi="Verdana" w:cs="Arial"/>
          <w:color w:val="4C4E53"/>
          <w:sz w:val="16"/>
          <w:szCs w:val="16"/>
        </w:rPr>
        <w:noBreakHyphen/>
        <w:t xml:space="preserve">857 K€ contre 1 450 K€ en 2012) et VIDELIO - Events (-722 K€ contre 273 K€ en 2012). </w:t>
      </w:r>
    </w:p>
    <w:p w:rsidR="00850A44" w:rsidRPr="00F4779C" w:rsidRDefault="00850A44" w:rsidP="004942B7">
      <w:pPr>
        <w:pStyle w:val="Formatlibre"/>
        <w:jc w:val="both"/>
        <w:rPr>
          <w:rFonts w:ascii="Verdana" w:hAnsi="Verdana" w:cs="Arial"/>
          <w:color w:val="4C4E53"/>
          <w:sz w:val="16"/>
          <w:szCs w:val="16"/>
        </w:rPr>
      </w:pPr>
    </w:p>
    <w:p w:rsidR="006915D5" w:rsidRPr="00F4779C" w:rsidRDefault="006915D5" w:rsidP="004942B7">
      <w:pPr>
        <w:pStyle w:val="Formatlibre"/>
        <w:jc w:val="both"/>
        <w:rPr>
          <w:rFonts w:ascii="Verdana" w:hAnsi="Verdana" w:cs="Arial"/>
          <w:color w:val="4C4E53"/>
          <w:sz w:val="16"/>
          <w:szCs w:val="16"/>
        </w:rPr>
      </w:pPr>
      <w:r w:rsidRPr="00F4779C">
        <w:rPr>
          <w:rFonts w:ascii="Verdana" w:hAnsi="Verdana" w:cs="Arial"/>
          <w:color w:val="4C4E53"/>
          <w:sz w:val="16"/>
          <w:szCs w:val="16"/>
        </w:rPr>
        <w:t xml:space="preserve">En 2013, la charge d'impôt s'élève à 686 K€ contre 1 703 K€ en 2012. </w:t>
      </w:r>
    </w:p>
    <w:p w:rsidR="006915D5" w:rsidRPr="00F4779C" w:rsidRDefault="006915D5"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 xml:space="preserve">Le résultat net consolidé part du groupe est bénéficiaire et s’élève à 2 985 K€ contre un résultat net consolidé bénéficiaire de 4 995 K€ pour l’exercice 2012, soit une baisse de 40,24 % par rapport aux comptes 2012 pro forma et 25,41 % par rapport aux comptes 2012 publiés. </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Le résultat net par action s’établit à 0,12 € en 2013 contre 0,21 € en 2012.</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keepNext/>
        <w:tabs>
          <w:tab w:val="left" w:pos="2480"/>
        </w:tabs>
        <w:ind w:left="482"/>
        <w:rPr>
          <w:rFonts w:ascii="Verdana" w:hAnsi="Verdana" w:cs="Arial"/>
          <w:b/>
          <w:color w:val="D51366"/>
          <w:sz w:val="16"/>
          <w:szCs w:val="16"/>
        </w:rPr>
      </w:pPr>
      <w:r w:rsidRPr="00F4779C">
        <w:rPr>
          <w:rFonts w:ascii="Verdana" w:hAnsi="Verdana" w:cs="Arial"/>
          <w:b/>
          <w:color w:val="D51366"/>
          <w:sz w:val="16"/>
          <w:szCs w:val="16"/>
        </w:rPr>
        <w:lastRenderedPageBreak/>
        <w:t>1.3 Analyse de la structure financière</w:t>
      </w:r>
    </w:p>
    <w:p w:rsidR="00850A44" w:rsidRPr="00F4779C" w:rsidRDefault="00850A44" w:rsidP="004942B7">
      <w:pPr>
        <w:pStyle w:val="Formatlibre"/>
        <w:keepNext/>
        <w:rPr>
          <w:rFonts w:ascii="Verdana" w:hAnsi="Verdana" w:cs="Arial"/>
          <w:color w:val="D51366"/>
          <w:sz w:val="16"/>
          <w:szCs w:val="16"/>
          <w:u w:color="000065"/>
        </w:rPr>
      </w:pPr>
    </w:p>
    <w:p w:rsidR="00850A44" w:rsidRPr="00F4779C" w:rsidRDefault="00850A44" w:rsidP="004942B7">
      <w:pPr>
        <w:pStyle w:val="Formatlibre"/>
        <w:keepNext/>
        <w:rPr>
          <w:rFonts w:ascii="Verdana" w:hAnsi="Verdana" w:cs="Arial"/>
          <w:b/>
          <w:i/>
          <w:color w:val="D51366"/>
          <w:sz w:val="16"/>
          <w:szCs w:val="16"/>
          <w:u w:color="000065"/>
        </w:rPr>
      </w:pPr>
      <w:r w:rsidRPr="00F4779C">
        <w:rPr>
          <w:rFonts w:ascii="Verdana" w:hAnsi="Verdana" w:cs="Arial"/>
          <w:b/>
          <w:i/>
          <w:color w:val="D51366"/>
          <w:sz w:val="16"/>
          <w:szCs w:val="16"/>
          <w:u w:color="000065"/>
        </w:rPr>
        <w:t>Bilan simplifié</w:t>
      </w:r>
    </w:p>
    <w:p w:rsidR="00850A44" w:rsidRPr="00F4779C" w:rsidRDefault="00850A44" w:rsidP="004942B7">
      <w:pPr>
        <w:pStyle w:val="Formatlibre"/>
        <w:keepNext/>
        <w:rPr>
          <w:rFonts w:ascii="Verdana" w:hAnsi="Verdana" w:cs="Arial"/>
          <w:color w:val="4C4E53"/>
          <w:sz w:val="16"/>
          <w:szCs w:val="16"/>
          <w:u w:color="000065"/>
        </w:rPr>
      </w:pPr>
    </w:p>
    <w:tbl>
      <w:tblPr>
        <w:tblW w:w="0" w:type="auto"/>
        <w:tblInd w:w="80" w:type="dxa"/>
        <w:tblBorders>
          <w:top w:val="single" w:sz="2" w:space="0" w:color="4C4E53"/>
          <w:left w:val="single" w:sz="2" w:space="0" w:color="4C4E53"/>
          <w:bottom w:val="single" w:sz="2" w:space="0" w:color="4C4E53"/>
          <w:right w:val="single" w:sz="2" w:space="0" w:color="4C4E53"/>
          <w:insideH w:val="single" w:sz="2" w:space="0" w:color="4C4E53"/>
          <w:insideV w:val="single" w:sz="2" w:space="0" w:color="4C4E53"/>
        </w:tblBorders>
        <w:shd w:val="clear" w:color="auto" w:fill="FFFFFF"/>
        <w:tblLayout w:type="fixed"/>
        <w:tblLook w:val="0000"/>
      </w:tblPr>
      <w:tblGrid>
        <w:gridCol w:w="4535"/>
        <w:gridCol w:w="1701"/>
        <w:gridCol w:w="1701"/>
        <w:gridCol w:w="1701"/>
      </w:tblGrid>
      <w:tr w:rsidR="00850A44" w:rsidRPr="00F4779C" w:rsidTr="00DF378B">
        <w:trPr>
          <w:cantSplit/>
          <w:trHeight w:val="20"/>
        </w:trPr>
        <w:tc>
          <w:tcPr>
            <w:tcW w:w="4535"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ACTIF (K€)</w:t>
            </w:r>
          </w:p>
        </w:tc>
        <w:tc>
          <w:tcPr>
            <w:tcW w:w="1701" w:type="dxa"/>
            <w:tcBorders>
              <w:top w:val="single" w:sz="12" w:space="0" w:color="D51366"/>
              <w:left w:val="single" w:sz="12" w:space="0" w:color="D51366"/>
              <w:bottom w:val="single" w:sz="12" w:space="0" w:color="D51366"/>
              <w:right w:val="single" w:sz="12" w:space="0" w:color="D51366"/>
            </w:tcBorders>
            <w:shd w:val="clear" w:color="auto" w:fill="FFFFFF"/>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2013</w:t>
            </w:r>
          </w:p>
          <w:p w:rsidR="00041DD9" w:rsidRPr="00F4779C" w:rsidRDefault="00041DD9" w:rsidP="004942B7">
            <w:pPr>
              <w:pStyle w:val="Formatlibre"/>
              <w:keepNext/>
              <w:rPr>
                <w:rFonts w:ascii="Verdana" w:hAnsi="Verdana" w:cs="Arial"/>
                <w:b/>
                <w:color w:val="D51366"/>
                <w:sz w:val="14"/>
                <w:szCs w:val="14"/>
              </w:rPr>
            </w:pPr>
          </w:p>
        </w:tc>
        <w:tc>
          <w:tcPr>
            <w:tcW w:w="1701"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2012</w:t>
            </w:r>
          </w:p>
        </w:tc>
        <w:tc>
          <w:tcPr>
            <w:tcW w:w="1701"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Evolution 2012/2013 (%)</w:t>
            </w:r>
          </w:p>
        </w:tc>
      </w:tr>
      <w:tr w:rsidR="00850A44" w:rsidRPr="00F4779C" w:rsidTr="00DF378B">
        <w:trPr>
          <w:cantSplit/>
          <w:trHeight w:val="20"/>
        </w:trPr>
        <w:tc>
          <w:tcPr>
            <w:tcW w:w="4535"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Actifs non courants</w:t>
            </w:r>
          </w:p>
        </w:tc>
        <w:tc>
          <w:tcPr>
            <w:tcW w:w="1701" w:type="dxa"/>
            <w:tcBorders>
              <w:top w:val="single" w:sz="12" w:space="0" w:color="D51366"/>
            </w:tcBorders>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39 152</w:t>
            </w:r>
          </w:p>
        </w:tc>
        <w:tc>
          <w:tcPr>
            <w:tcW w:w="1701"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36 767</w:t>
            </w:r>
          </w:p>
        </w:tc>
        <w:tc>
          <w:tcPr>
            <w:tcW w:w="1701"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6,49</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dont écarts d’acquisition</w:t>
            </w:r>
          </w:p>
        </w:tc>
        <w:tc>
          <w:tcPr>
            <w:tcW w:w="1701" w:type="dxa"/>
            <w:shd w:val="clear" w:color="auto" w:fill="FFFFFF"/>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24 347</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24 347</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dont impôts différés actifs</w:t>
            </w:r>
          </w:p>
        </w:tc>
        <w:tc>
          <w:tcPr>
            <w:tcW w:w="1701" w:type="dxa"/>
            <w:shd w:val="clear" w:color="auto" w:fill="FFFFFF"/>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3 474</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2 993</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16,07</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Actifs courants</w:t>
            </w:r>
          </w:p>
        </w:tc>
        <w:tc>
          <w:tcPr>
            <w:tcW w:w="1701"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70 437</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75 215</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-6,35</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dont stocks et en cours</w:t>
            </w:r>
          </w:p>
        </w:tc>
        <w:tc>
          <w:tcPr>
            <w:tcW w:w="1701" w:type="dxa"/>
            <w:shd w:val="clear" w:color="auto" w:fill="FFFFFF"/>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6 951</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7 961</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-12,69</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dont clients</w:t>
            </w:r>
          </w:p>
        </w:tc>
        <w:tc>
          <w:tcPr>
            <w:tcW w:w="1701" w:type="dxa"/>
            <w:shd w:val="clear" w:color="auto" w:fill="FFFFFF"/>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23 034</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29 728</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-22,52</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dont trésorerie et équivalents</w:t>
            </w:r>
          </w:p>
        </w:tc>
        <w:tc>
          <w:tcPr>
            <w:tcW w:w="1701" w:type="dxa"/>
            <w:shd w:val="clear" w:color="auto" w:fill="FFFFFF"/>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30 560</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27 538</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10,97</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Total Actif</w:t>
            </w:r>
          </w:p>
        </w:tc>
        <w:tc>
          <w:tcPr>
            <w:tcW w:w="1701"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109 589</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111 982</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-2,14</w:t>
            </w:r>
          </w:p>
        </w:tc>
      </w:tr>
    </w:tbl>
    <w:p w:rsidR="00850A44" w:rsidRPr="00F4779C" w:rsidRDefault="00850A44" w:rsidP="004942B7">
      <w:pPr>
        <w:pStyle w:val="Formatlibre"/>
        <w:rPr>
          <w:rFonts w:ascii="Verdana" w:hAnsi="Verdana" w:cs="Arial"/>
          <w:color w:val="4C4E53"/>
          <w:sz w:val="16"/>
          <w:szCs w:val="16"/>
        </w:rPr>
      </w:pPr>
    </w:p>
    <w:tbl>
      <w:tblPr>
        <w:tblW w:w="0" w:type="auto"/>
        <w:tblInd w:w="80" w:type="dxa"/>
        <w:tblBorders>
          <w:top w:val="single" w:sz="2" w:space="0" w:color="4C4E53"/>
          <w:left w:val="single" w:sz="2" w:space="0" w:color="4C4E53"/>
          <w:bottom w:val="single" w:sz="2" w:space="0" w:color="4C4E53"/>
          <w:right w:val="single" w:sz="2" w:space="0" w:color="4C4E53"/>
          <w:insideH w:val="single" w:sz="2" w:space="0" w:color="4C4E53"/>
          <w:insideV w:val="single" w:sz="2" w:space="0" w:color="4C4E53"/>
        </w:tblBorders>
        <w:shd w:val="clear" w:color="auto" w:fill="FFFFFF"/>
        <w:tblLayout w:type="fixed"/>
        <w:tblLook w:val="0000"/>
      </w:tblPr>
      <w:tblGrid>
        <w:gridCol w:w="4535"/>
        <w:gridCol w:w="1701"/>
        <w:gridCol w:w="1701"/>
        <w:gridCol w:w="1701"/>
      </w:tblGrid>
      <w:tr w:rsidR="00850A44" w:rsidRPr="00F4779C" w:rsidTr="00DF378B">
        <w:trPr>
          <w:cantSplit/>
          <w:trHeight w:val="20"/>
        </w:trPr>
        <w:tc>
          <w:tcPr>
            <w:tcW w:w="4535"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PASSIF (K€)</w:t>
            </w:r>
          </w:p>
        </w:tc>
        <w:tc>
          <w:tcPr>
            <w:tcW w:w="1701" w:type="dxa"/>
            <w:tcBorders>
              <w:top w:val="single" w:sz="12" w:space="0" w:color="D51366"/>
              <w:left w:val="single" w:sz="12" w:space="0" w:color="D51366"/>
              <w:bottom w:val="single" w:sz="12" w:space="0" w:color="D51366"/>
              <w:right w:val="single" w:sz="12" w:space="0" w:color="D51366"/>
            </w:tcBorders>
            <w:shd w:val="clear" w:color="auto" w:fill="FFFFFF"/>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2013</w:t>
            </w:r>
          </w:p>
        </w:tc>
        <w:tc>
          <w:tcPr>
            <w:tcW w:w="1701"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2012</w:t>
            </w:r>
          </w:p>
        </w:tc>
        <w:tc>
          <w:tcPr>
            <w:tcW w:w="1701"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Evolution 2012/2013 (%)</w:t>
            </w:r>
          </w:p>
        </w:tc>
      </w:tr>
      <w:tr w:rsidR="00850A44" w:rsidRPr="00F4779C" w:rsidTr="00DF378B">
        <w:trPr>
          <w:cantSplit/>
          <w:trHeight w:val="20"/>
        </w:trPr>
        <w:tc>
          <w:tcPr>
            <w:tcW w:w="4535"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Capitaux propres groupe</w:t>
            </w:r>
          </w:p>
        </w:tc>
        <w:tc>
          <w:tcPr>
            <w:tcW w:w="1701" w:type="dxa"/>
            <w:tcBorders>
              <w:top w:val="single" w:sz="12" w:space="0" w:color="D51366"/>
            </w:tcBorders>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32 796</w:t>
            </w:r>
          </w:p>
        </w:tc>
        <w:tc>
          <w:tcPr>
            <w:tcW w:w="1701"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30 325</w:t>
            </w:r>
          </w:p>
        </w:tc>
        <w:tc>
          <w:tcPr>
            <w:tcW w:w="1701"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8,15</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Intérêts minoritaires</w:t>
            </w:r>
          </w:p>
        </w:tc>
        <w:tc>
          <w:tcPr>
            <w:tcW w:w="1701" w:type="dxa"/>
            <w:shd w:val="clear" w:color="auto" w:fill="FFFFFF"/>
          </w:tcPr>
          <w:p w:rsidR="00850A44" w:rsidRPr="00F4779C" w:rsidRDefault="00850A44" w:rsidP="004942B7">
            <w:pPr>
              <w:pStyle w:val="Formatlibre"/>
              <w:keepNext/>
              <w:rPr>
                <w:rFonts w:ascii="Verdana" w:hAnsi="Verdana" w:cs="Arial"/>
                <w:color w:val="4C4E53"/>
                <w:sz w:val="14"/>
                <w:szCs w:val="14"/>
              </w:rPr>
            </w:pP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Capitaux propres de l’ensemble</w:t>
            </w:r>
          </w:p>
        </w:tc>
        <w:tc>
          <w:tcPr>
            <w:tcW w:w="1701"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32 796</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30 325</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8,15</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Passifs non courants</w:t>
            </w:r>
          </w:p>
        </w:tc>
        <w:tc>
          <w:tcPr>
            <w:tcW w:w="1701"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11 401</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10 959</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4,03</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dont emprunts et dettes financières</w:t>
            </w:r>
          </w:p>
        </w:tc>
        <w:tc>
          <w:tcPr>
            <w:tcW w:w="1701" w:type="dxa"/>
            <w:shd w:val="clear" w:color="auto" w:fill="FFFFFF"/>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5 787</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5 887</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-1,70</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Passifs courants</w:t>
            </w:r>
          </w:p>
        </w:tc>
        <w:tc>
          <w:tcPr>
            <w:tcW w:w="1701"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65 392</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70 698</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-7,51</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dont dettes fournisseurs</w:t>
            </w:r>
          </w:p>
        </w:tc>
        <w:tc>
          <w:tcPr>
            <w:tcW w:w="1701" w:type="dxa"/>
            <w:shd w:val="clear" w:color="auto" w:fill="FFFFFF"/>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26 857</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31 188</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-13,89</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dont emprunts court terme</w:t>
            </w:r>
          </w:p>
        </w:tc>
        <w:tc>
          <w:tcPr>
            <w:tcW w:w="1701" w:type="dxa"/>
            <w:shd w:val="clear" w:color="auto" w:fill="FFFFFF"/>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7 108</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7 566</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-6,05</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Total Passif</w:t>
            </w:r>
          </w:p>
        </w:tc>
        <w:tc>
          <w:tcPr>
            <w:tcW w:w="1701"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109 589</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111 982</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-2,14</w:t>
            </w:r>
          </w:p>
        </w:tc>
      </w:tr>
    </w:tbl>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 xml:space="preserve">Le total du bilan consolidé du Groupe s’établit à 109 589 K€ au 31 décembre 2013 contre 111 982 K€ au 31 décembre 2012. </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Les actifs non courants s’élèvent à 39 152 K€ au 31 décembre 2013 contre 36 767 K€ au 31 décembre 2012. Cette variation s’explique pour l’essentiel par l’emprunt obligataire convertible en actions d’un montant en principal de 1 256 850 £ émis par Broadcast Networks Ltd et souscrit par VIDELIO - Broadcast.</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Les actifs courants s’établissent à 70 437 K€ au 31 décembre 2013 contre 75 215 K€ au 31 décembre 2012. La variation des actifs courants résulte essentiellement de la variation du poste clients en relation avec la baisse d'activité.</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Au 31 décembre 2013, hors actions propres les capitaux propres s’élèvent à 30 584 K€ contre 30</w:t>
      </w:r>
      <w:r w:rsidRPr="00F4779C">
        <w:rPr>
          <w:rFonts w:ascii="Verdana" w:hAnsi="Verdana" w:cs="Arial"/>
          <w:b/>
          <w:color w:val="4C4E53"/>
          <w:sz w:val="16"/>
          <w:szCs w:val="16"/>
        </w:rPr>
        <w:t> </w:t>
      </w:r>
      <w:r w:rsidRPr="00F4779C">
        <w:rPr>
          <w:rFonts w:ascii="Verdana" w:hAnsi="Verdana" w:cs="Arial"/>
          <w:color w:val="4C4E53"/>
          <w:sz w:val="16"/>
          <w:szCs w:val="16"/>
        </w:rPr>
        <w:t xml:space="preserve">325 K€ au 31 décembre 2012. Les actions propres représentent un montant de 2 212 K€ qui vient en diminution des capitaux propres. </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Les passifs non courants s’élèvent à 11 401 K€ au 31 décembre 2013 contre 10</w:t>
      </w:r>
      <w:r w:rsidR="00135563" w:rsidRPr="00F4779C">
        <w:rPr>
          <w:rFonts w:ascii="Verdana" w:hAnsi="Verdana" w:cs="Arial"/>
          <w:color w:val="4C4E53"/>
          <w:sz w:val="16"/>
          <w:szCs w:val="16"/>
        </w:rPr>
        <w:t> </w:t>
      </w:r>
      <w:r w:rsidRPr="00F4779C">
        <w:rPr>
          <w:rFonts w:ascii="Verdana" w:hAnsi="Verdana" w:cs="Arial"/>
          <w:color w:val="4C4E53"/>
          <w:sz w:val="16"/>
          <w:szCs w:val="16"/>
        </w:rPr>
        <w:t xml:space="preserve">959 K€ au 31 décembre 2012 et sont composés d’emprunts </w:t>
      </w:r>
      <w:r w:rsidR="00135563" w:rsidRPr="00F4779C">
        <w:rPr>
          <w:rFonts w:ascii="Verdana" w:hAnsi="Verdana" w:cs="Arial"/>
          <w:color w:val="4C4E53"/>
          <w:sz w:val="16"/>
          <w:szCs w:val="16"/>
        </w:rPr>
        <w:t>financiers pour un montant de 5 </w:t>
      </w:r>
      <w:r w:rsidRPr="00F4779C">
        <w:rPr>
          <w:rFonts w:ascii="Verdana" w:hAnsi="Verdana" w:cs="Arial"/>
          <w:color w:val="4C4E53"/>
          <w:sz w:val="16"/>
          <w:szCs w:val="16"/>
        </w:rPr>
        <w:t xml:space="preserve">787 K€ contre 5 887 K€ en 2012. </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 xml:space="preserve">Les passifs courants s’élèvent à 65 392 K€ au 31 décembre 2013 contre 70 698 K€ au 31 décembre 2012. L'évolution des passifs courants découle principalement de la variation des dettes fournisseurs. </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keepNext/>
        <w:rPr>
          <w:rFonts w:ascii="Verdana" w:hAnsi="Verdana" w:cs="Arial"/>
          <w:b/>
          <w:i/>
          <w:color w:val="D51366"/>
          <w:sz w:val="16"/>
          <w:szCs w:val="16"/>
          <w:u w:color="000065"/>
        </w:rPr>
      </w:pPr>
      <w:r w:rsidRPr="00F4779C">
        <w:rPr>
          <w:rFonts w:ascii="Verdana" w:hAnsi="Verdana" w:cs="Arial"/>
          <w:b/>
          <w:i/>
          <w:color w:val="D51366"/>
          <w:sz w:val="16"/>
          <w:szCs w:val="16"/>
          <w:u w:color="000065"/>
        </w:rPr>
        <w:lastRenderedPageBreak/>
        <w:t>Trésorerie nette</w:t>
      </w:r>
    </w:p>
    <w:p w:rsidR="00850A44" w:rsidRPr="00F4779C" w:rsidRDefault="00850A44" w:rsidP="004942B7">
      <w:pPr>
        <w:pStyle w:val="Formatlibre"/>
        <w:keepNext/>
        <w:rPr>
          <w:rFonts w:ascii="Verdana" w:hAnsi="Verdana" w:cs="Arial"/>
          <w:color w:val="4C4E53"/>
          <w:sz w:val="16"/>
          <w:szCs w:val="16"/>
          <w:u w:color="000065"/>
        </w:rPr>
      </w:pPr>
    </w:p>
    <w:tbl>
      <w:tblPr>
        <w:tblW w:w="0" w:type="auto"/>
        <w:tblInd w:w="80" w:type="dxa"/>
        <w:tblBorders>
          <w:top w:val="single" w:sz="2" w:space="0" w:color="4C4E53"/>
          <w:left w:val="single" w:sz="2" w:space="0" w:color="4C4E53"/>
          <w:bottom w:val="single" w:sz="2" w:space="0" w:color="4C4E53"/>
          <w:right w:val="single" w:sz="2" w:space="0" w:color="4C4E53"/>
          <w:insideH w:val="single" w:sz="2" w:space="0" w:color="4C4E53"/>
          <w:insideV w:val="single" w:sz="2" w:space="0" w:color="4C4E53"/>
        </w:tblBorders>
        <w:shd w:val="clear" w:color="auto" w:fill="FFFFFF"/>
        <w:tblLayout w:type="fixed"/>
        <w:tblLook w:val="0000"/>
      </w:tblPr>
      <w:tblGrid>
        <w:gridCol w:w="4535"/>
        <w:gridCol w:w="1701"/>
        <w:gridCol w:w="1701"/>
        <w:gridCol w:w="1702"/>
      </w:tblGrid>
      <w:tr w:rsidR="00850A44" w:rsidRPr="00F4779C" w:rsidTr="00DF378B">
        <w:trPr>
          <w:cantSplit/>
          <w:trHeight w:val="20"/>
        </w:trPr>
        <w:tc>
          <w:tcPr>
            <w:tcW w:w="4535"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(K€)</w:t>
            </w:r>
          </w:p>
        </w:tc>
        <w:tc>
          <w:tcPr>
            <w:tcW w:w="1701" w:type="dxa"/>
            <w:tcBorders>
              <w:top w:val="single" w:sz="12" w:space="0" w:color="D51366"/>
              <w:left w:val="single" w:sz="12" w:space="0" w:color="D51366"/>
              <w:bottom w:val="single" w:sz="12" w:space="0" w:color="D51366"/>
              <w:right w:val="single" w:sz="12" w:space="0" w:color="D51366"/>
            </w:tcBorders>
            <w:shd w:val="clear" w:color="auto" w:fill="FFFFFF"/>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2013</w:t>
            </w:r>
          </w:p>
        </w:tc>
        <w:tc>
          <w:tcPr>
            <w:tcW w:w="1701" w:type="dxa"/>
            <w:tcBorders>
              <w:top w:val="single" w:sz="12" w:space="0" w:color="D51366"/>
              <w:left w:val="single" w:sz="12" w:space="0" w:color="D51366"/>
              <w:bottom w:val="single" w:sz="12" w:space="0" w:color="D51366"/>
              <w:right w:val="single" w:sz="12" w:space="0" w:color="D51366"/>
            </w:tcBorders>
            <w:shd w:val="clear" w:color="auto" w:fill="FFFFFF"/>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2012</w:t>
            </w:r>
          </w:p>
        </w:tc>
        <w:tc>
          <w:tcPr>
            <w:tcW w:w="1702"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Evolution 2012/2013 (%)</w:t>
            </w:r>
          </w:p>
        </w:tc>
      </w:tr>
      <w:tr w:rsidR="00850A44" w:rsidRPr="00F4779C" w:rsidTr="00DF378B">
        <w:trPr>
          <w:cantSplit/>
          <w:trHeight w:val="20"/>
        </w:trPr>
        <w:tc>
          <w:tcPr>
            <w:tcW w:w="4535"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Endettement financier brut</w:t>
            </w:r>
            <w:r w:rsidRPr="00F4779C">
              <w:rPr>
                <w:rFonts w:ascii="Verdana" w:hAnsi="Verdana" w:cs="Arial"/>
                <w:color w:val="4C4E53"/>
                <w:sz w:val="14"/>
                <w:szCs w:val="14"/>
                <w:vertAlign w:val="superscript"/>
              </w:rPr>
              <w:t>(1)</w:t>
            </w:r>
          </w:p>
        </w:tc>
        <w:tc>
          <w:tcPr>
            <w:tcW w:w="1701" w:type="dxa"/>
            <w:tcBorders>
              <w:top w:val="single" w:sz="12" w:space="0" w:color="D51366"/>
            </w:tcBorders>
            <w:shd w:val="clear" w:color="auto" w:fill="FFFFFF"/>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12 833</w:t>
            </w:r>
          </w:p>
        </w:tc>
        <w:tc>
          <w:tcPr>
            <w:tcW w:w="1701" w:type="dxa"/>
            <w:tcBorders>
              <w:top w:val="single" w:sz="12" w:space="0" w:color="D51366"/>
            </w:tcBorders>
            <w:shd w:val="clear" w:color="auto" w:fill="FFFFFF"/>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13 067</w:t>
            </w:r>
          </w:p>
        </w:tc>
        <w:tc>
          <w:tcPr>
            <w:tcW w:w="1702"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-1,79</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 xml:space="preserve">Trésorerie </w:t>
            </w:r>
            <w:r w:rsidRPr="00F4779C">
              <w:rPr>
                <w:rFonts w:ascii="Verdana" w:hAnsi="Verdana" w:cs="Arial"/>
                <w:color w:val="4C4E53"/>
                <w:sz w:val="14"/>
                <w:szCs w:val="14"/>
                <w:vertAlign w:val="superscript"/>
              </w:rPr>
              <w:t>(2)</w:t>
            </w:r>
          </w:p>
        </w:tc>
        <w:tc>
          <w:tcPr>
            <w:tcW w:w="1701" w:type="dxa"/>
            <w:shd w:val="clear" w:color="auto" w:fill="FFFFFF"/>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30 498</w:t>
            </w:r>
          </w:p>
        </w:tc>
        <w:tc>
          <w:tcPr>
            <w:tcW w:w="1701" w:type="dxa"/>
            <w:shd w:val="clear" w:color="auto" w:fill="FFFFFF"/>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27 151</w:t>
            </w:r>
          </w:p>
        </w:tc>
        <w:tc>
          <w:tcPr>
            <w:tcW w:w="1702" w:type="dxa"/>
            <w:shd w:val="clear" w:color="auto" w:fill="FFFFFF"/>
            <w:tcMar>
              <w:top w:w="80" w:type="dxa"/>
              <w:left w:w="80" w:type="dxa"/>
              <w:bottom w:w="80" w:type="dxa"/>
              <w:right w:w="80" w:type="dxa"/>
            </w:tcMar>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12,33</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Trésorerie nette</w:t>
            </w:r>
            <w:r w:rsidRPr="00F4779C">
              <w:rPr>
                <w:rFonts w:ascii="Verdana" w:hAnsi="Verdana" w:cs="Arial"/>
                <w:color w:val="4C4E53"/>
                <w:sz w:val="14"/>
                <w:szCs w:val="14"/>
                <w:vertAlign w:val="superscript"/>
              </w:rPr>
              <w:t>(3)</w:t>
            </w:r>
          </w:p>
        </w:tc>
        <w:tc>
          <w:tcPr>
            <w:tcW w:w="1701" w:type="dxa"/>
            <w:shd w:val="clear" w:color="auto" w:fill="FFFFFF"/>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17 665</w:t>
            </w:r>
          </w:p>
        </w:tc>
        <w:tc>
          <w:tcPr>
            <w:tcW w:w="1701" w:type="dxa"/>
            <w:shd w:val="clear" w:color="auto" w:fill="FFFFFF"/>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14 084</w:t>
            </w:r>
          </w:p>
        </w:tc>
        <w:tc>
          <w:tcPr>
            <w:tcW w:w="1702" w:type="dxa"/>
            <w:shd w:val="clear" w:color="auto" w:fill="FFFFFF"/>
            <w:tcMar>
              <w:top w:w="80" w:type="dxa"/>
              <w:left w:w="80" w:type="dxa"/>
              <w:bottom w:w="80" w:type="dxa"/>
              <w:right w:w="80" w:type="dxa"/>
            </w:tcMar>
          </w:tcPr>
          <w:p w:rsidR="00850A44" w:rsidRPr="00F4779C" w:rsidRDefault="00850A44" w:rsidP="004942B7">
            <w:pPr>
              <w:pStyle w:val="Formatlibre"/>
              <w:rPr>
                <w:rFonts w:ascii="Verdana" w:hAnsi="Verdana" w:cs="Arial"/>
                <w:color w:val="4C4E53"/>
                <w:sz w:val="14"/>
                <w:szCs w:val="14"/>
              </w:rPr>
            </w:pPr>
            <w:r w:rsidRPr="00F4779C">
              <w:rPr>
                <w:rFonts w:ascii="Verdana" w:hAnsi="Verdana" w:cs="Arial"/>
                <w:color w:val="4C4E53"/>
                <w:sz w:val="14"/>
                <w:szCs w:val="14"/>
              </w:rPr>
              <w:t>25,43</w:t>
            </w:r>
          </w:p>
        </w:tc>
      </w:tr>
    </w:tbl>
    <w:p w:rsidR="00850A44" w:rsidRPr="00363ECC" w:rsidRDefault="00850A44" w:rsidP="004942B7">
      <w:pPr>
        <w:pStyle w:val="Formatlibre"/>
        <w:ind w:left="426" w:right="843" w:hanging="426"/>
        <w:rPr>
          <w:rFonts w:ascii="Verdana" w:hAnsi="Verdana" w:cs="Arial"/>
          <w:color w:val="4C4E53"/>
          <w:sz w:val="12"/>
          <w:szCs w:val="12"/>
        </w:rPr>
      </w:pPr>
      <w:r w:rsidRPr="00363ECC">
        <w:rPr>
          <w:rFonts w:ascii="Verdana" w:hAnsi="Verdana" w:cs="Arial"/>
          <w:color w:val="4C4E53"/>
          <w:sz w:val="12"/>
          <w:szCs w:val="12"/>
        </w:rPr>
        <w:t xml:space="preserve">(1) </w:t>
      </w:r>
      <w:r w:rsidRPr="00363ECC">
        <w:rPr>
          <w:rFonts w:ascii="Verdana" w:hAnsi="Verdana" w:cs="Arial"/>
          <w:color w:val="4C4E53"/>
          <w:sz w:val="12"/>
          <w:szCs w:val="12"/>
        </w:rPr>
        <w:tab/>
        <w:t>L’endettement financier brut est constitué des passifs financiers à court et long terme hors factor (emprunts, emprunts en crédit-bail, compte courant) (cf. note 11 des comptes consolidés 2013).</w:t>
      </w:r>
    </w:p>
    <w:p w:rsidR="00850A44" w:rsidRPr="00363ECC" w:rsidRDefault="00850A44" w:rsidP="004942B7">
      <w:pPr>
        <w:pStyle w:val="Formatlibre"/>
        <w:ind w:left="426" w:right="843" w:hanging="426"/>
        <w:rPr>
          <w:rFonts w:ascii="Verdana" w:hAnsi="Verdana" w:cs="Arial"/>
          <w:color w:val="4C4E53"/>
          <w:sz w:val="12"/>
          <w:szCs w:val="12"/>
        </w:rPr>
      </w:pPr>
      <w:r w:rsidRPr="00363ECC">
        <w:rPr>
          <w:rFonts w:ascii="Verdana" w:hAnsi="Verdana" w:cs="Arial"/>
          <w:color w:val="4C4E53"/>
          <w:sz w:val="12"/>
          <w:szCs w:val="12"/>
        </w:rPr>
        <w:t xml:space="preserve">(2) </w:t>
      </w:r>
      <w:r w:rsidRPr="00363ECC">
        <w:rPr>
          <w:rFonts w:ascii="Verdana" w:hAnsi="Verdana" w:cs="Arial"/>
          <w:color w:val="4C4E53"/>
          <w:sz w:val="12"/>
          <w:szCs w:val="12"/>
        </w:rPr>
        <w:tab/>
        <w:t xml:space="preserve">La trésorerie est constituée par la trésorerie brute diminuée des découverts bancaires (cf. note 11 des comptes consolidés 2013). </w:t>
      </w:r>
    </w:p>
    <w:p w:rsidR="00850A44" w:rsidRPr="00363ECC" w:rsidRDefault="00850A44" w:rsidP="004942B7">
      <w:pPr>
        <w:pStyle w:val="Formatlibre"/>
        <w:ind w:left="426" w:right="843" w:hanging="426"/>
        <w:rPr>
          <w:rFonts w:ascii="Verdana" w:hAnsi="Verdana" w:cs="Arial"/>
          <w:color w:val="4C4E53"/>
          <w:sz w:val="12"/>
          <w:szCs w:val="12"/>
        </w:rPr>
      </w:pPr>
      <w:r w:rsidRPr="00363ECC">
        <w:rPr>
          <w:rFonts w:ascii="Verdana" w:hAnsi="Verdana" w:cs="Arial"/>
          <w:color w:val="4C4E53"/>
          <w:sz w:val="12"/>
          <w:szCs w:val="12"/>
        </w:rPr>
        <w:t xml:space="preserve">(3) </w:t>
      </w:r>
      <w:r w:rsidRPr="00363ECC">
        <w:rPr>
          <w:rFonts w:ascii="Verdana" w:hAnsi="Verdana" w:cs="Arial"/>
          <w:color w:val="4C4E53"/>
          <w:sz w:val="12"/>
          <w:szCs w:val="12"/>
        </w:rPr>
        <w:tab/>
        <w:t>La trésorerie nette est constituée de la trésorerie diminuée de l’endettement financier brut (cf. note 11 des comptes consolidés 2013).</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keepNext/>
        <w:rPr>
          <w:rFonts w:ascii="Verdana" w:hAnsi="Verdana" w:cs="Arial"/>
          <w:b/>
          <w:i/>
          <w:color w:val="D51366"/>
          <w:sz w:val="16"/>
          <w:szCs w:val="16"/>
          <w:u w:color="000065"/>
        </w:rPr>
      </w:pPr>
      <w:r w:rsidRPr="00F4779C">
        <w:rPr>
          <w:rFonts w:ascii="Verdana" w:hAnsi="Verdana" w:cs="Arial"/>
          <w:b/>
          <w:i/>
          <w:color w:val="D51366"/>
          <w:sz w:val="16"/>
          <w:szCs w:val="16"/>
          <w:u w:color="000065"/>
        </w:rPr>
        <w:t>Analyse des flux de trésorerie</w:t>
      </w:r>
    </w:p>
    <w:p w:rsidR="00850A44" w:rsidRPr="00F4779C" w:rsidRDefault="00850A44" w:rsidP="004942B7">
      <w:pPr>
        <w:pStyle w:val="Formatlibre"/>
        <w:keepNext/>
        <w:rPr>
          <w:rFonts w:ascii="Verdana" w:hAnsi="Verdana" w:cs="Arial"/>
          <w:color w:val="4C4E53"/>
          <w:sz w:val="16"/>
          <w:szCs w:val="16"/>
          <w:u w:color="000065"/>
        </w:rPr>
      </w:pPr>
    </w:p>
    <w:tbl>
      <w:tblPr>
        <w:tblW w:w="0" w:type="auto"/>
        <w:tblInd w:w="80" w:type="dxa"/>
        <w:tblBorders>
          <w:top w:val="single" w:sz="2" w:space="0" w:color="4C4E53"/>
          <w:left w:val="single" w:sz="2" w:space="0" w:color="4C4E53"/>
          <w:bottom w:val="single" w:sz="2" w:space="0" w:color="4C4E53"/>
          <w:right w:val="single" w:sz="2" w:space="0" w:color="4C4E53"/>
          <w:insideH w:val="single" w:sz="2" w:space="0" w:color="4C4E53"/>
          <w:insideV w:val="single" w:sz="2" w:space="0" w:color="4C4E53"/>
        </w:tblBorders>
        <w:shd w:val="clear" w:color="auto" w:fill="FFFFFF"/>
        <w:tblLayout w:type="fixed"/>
        <w:tblLook w:val="0000"/>
      </w:tblPr>
      <w:tblGrid>
        <w:gridCol w:w="4535"/>
        <w:gridCol w:w="1701"/>
        <w:gridCol w:w="1701"/>
        <w:gridCol w:w="1701"/>
      </w:tblGrid>
      <w:tr w:rsidR="00850A44" w:rsidRPr="00F4779C" w:rsidTr="00DF378B">
        <w:trPr>
          <w:cantSplit/>
          <w:trHeight w:val="20"/>
        </w:trPr>
        <w:tc>
          <w:tcPr>
            <w:tcW w:w="4535"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En K€</w:t>
            </w:r>
          </w:p>
        </w:tc>
        <w:tc>
          <w:tcPr>
            <w:tcW w:w="1701" w:type="dxa"/>
            <w:tcBorders>
              <w:top w:val="single" w:sz="12" w:space="0" w:color="D51366"/>
              <w:left w:val="single" w:sz="12" w:space="0" w:color="D51366"/>
              <w:bottom w:val="single" w:sz="12" w:space="0" w:color="D51366"/>
              <w:right w:val="single" w:sz="12" w:space="0" w:color="D51366"/>
            </w:tcBorders>
            <w:shd w:val="clear" w:color="auto" w:fill="FFFFFF"/>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2013</w:t>
            </w:r>
          </w:p>
        </w:tc>
        <w:tc>
          <w:tcPr>
            <w:tcW w:w="1701"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2012</w:t>
            </w:r>
          </w:p>
        </w:tc>
        <w:tc>
          <w:tcPr>
            <w:tcW w:w="1701"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Evolution 2012/2013 (%)</w:t>
            </w:r>
          </w:p>
        </w:tc>
      </w:tr>
      <w:tr w:rsidR="00850A44" w:rsidRPr="00F4779C" w:rsidTr="00DF378B">
        <w:trPr>
          <w:cantSplit/>
          <w:trHeight w:val="20"/>
        </w:trPr>
        <w:tc>
          <w:tcPr>
            <w:tcW w:w="4535"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Flux nets de trésorerie liés à l’activité</w:t>
            </w:r>
          </w:p>
        </w:tc>
        <w:tc>
          <w:tcPr>
            <w:tcW w:w="1701" w:type="dxa"/>
            <w:tcBorders>
              <w:top w:val="single" w:sz="12" w:space="0" w:color="D51366"/>
            </w:tcBorders>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11 612</w:t>
            </w:r>
          </w:p>
        </w:tc>
        <w:tc>
          <w:tcPr>
            <w:tcW w:w="1701"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17 269</w:t>
            </w:r>
          </w:p>
        </w:tc>
        <w:tc>
          <w:tcPr>
            <w:tcW w:w="1701"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-32,76</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Flux nets de trésorerie liés aux opérations d’investissement</w:t>
            </w:r>
          </w:p>
        </w:tc>
        <w:tc>
          <w:tcPr>
            <w:tcW w:w="1701"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-4 849</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-7 403</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-34,50</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Flux nets de trésorerie liés aux opérations de financement</w:t>
            </w:r>
          </w:p>
        </w:tc>
        <w:tc>
          <w:tcPr>
            <w:tcW w:w="1701"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-3 369</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-6 028</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-44,11</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Variation de trésorerie</w:t>
            </w:r>
          </w:p>
        </w:tc>
        <w:tc>
          <w:tcPr>
            <w:tcW w:w="1701"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3 347</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3 821</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-12,41</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Trésorerie à l’ouverture</w:t>
            </w:r>
          </w:p>
        </w:tc>
        <w:tc>
          <w:tcPr>
            <w:tcW w:w="1701"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27 151</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23 330</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16,38</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Trésorerie à la clôture</w:t>
            </w:r>
          </w:p>
        </w:tc>
        <w:tc>
          <w:tcPr>
            <w:tcW w:w="1701"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30 498</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27 151</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12,33</w:t>
            </w:r>
          </w:p>
        </w:tc>
      </w:tr>
    </w:tbl>
    <w:p w:rsidR="00850A44" w:rsidRPr="00F4779C" w:rsidRDefault="00850A44" w:rsidP="004942B7">
      <w:pPr>
        <w:pStyle w:val="Formatlibre"/>
        <w:rPr>
          <w:rFonts w:ascii="Verdana" w:hAnsi="Verdana" w:cs="Arial"/>
          <w:color w:val="4C4E53"/>
          <w:sz w:val="16"/>
          <w:szCs w:val="16"/>
          <w:u w:color="000065"/>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Les flux nets de trésorerie liés à l’activité de l’exercice 2013 sont positifs de 11 612 K€, en diminution de 32,76 % par rapport à 2012. La variation des flux de trésorerie liés aux activités opérationnelles s'explique, pour l'essentiel, par la baisse du résultat.</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 xml:space="preserve">Au 31 décembre 2013, la trésorerie est positive de 30 498 K€, avec une augmentation  de celle-ci de 3 347 K€ sur l’exercice. </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A la connaissance de la Société, à la date du rapport</w:t>
      </w:r>
      <w:r w:rsidR="00027C37" w:rsidRPr="00F4779C">
        <w:rPr>
          <w:rFonts w:ascii="Verdana" w:hAnsi="Verdana" w:cs="Arial"/>
          <w:color w:val="4C4E53"/>
          <w:sz w:val="16"/>
          <w:szCs w:val="16"/>
        </w:rPr>
        <w:t xml:space="preserve"> de gestion</w:t>
      </w:r>
      <w:r w:rsidRPr="00F4779C">
        <w:rPr>
          <w:rFonts w:ascii="Verdana" w:hAnsi="Verdana" w:cs="Arial"/>
          <w:color w:val="4C4E53"/>
          <w:sz w:val="16"/>
          <w:szCs w:val="16"/>
        </w:rPr>
        <w:t>, sous réserve des clauses de remboursement anticipé stipulées dans les contrats de prêt relatifs au financement de l’acquisition des titres G2J.Com et du fonds de commerce de Soft décrites au paragraphe 6.1.3.1 du rapport de gestion</w:t>
      </w:r>
      <w:r w:rsidR="00027C37" w:rsidRPr="00F4779C">
        <w:rPr>
          <w:rFonts w:ascii="Verdana" w:hAnsi="Verdana" w:cs="Arial"/>
          <w:color w:val="4C4E53"/>
          <w:sz w:val="16"/>
          <w:szCs w:val="16"/>
        </w:rPr>
        <w:t xml:space="preserve"> figurant dans le document de référence 2013 de la Société</w:t>
      </w:r>
      <w:r w:rsidRPr="00F4779C">
        <w:rPr>
          <w:rFonts w:ascii="Verdana" w:hAnsi="Verdana" w:cs="Arial"/>
          <w:color w:val="4C4E53"/>
          <w:sz w:val="16"/>
          <w:szCs w:val="16"/>
        </w:rPr>
        <w:t>, il n’existe pas de restrictions à l’utilisation de capitaux qui ont influé sensiblement ou pouvant influer sensiblement, de manière directe ou indirecte, sur les opérations du Groupe.</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keepNext/>
        <w:tabs>
          <w:tab w:val="left" w:pos="2240"/>
        </w:tabs>
        <w:rPr>
          <w:rFonts w:ascii="Verdana" w:hAnsi="Verdana" w:cs="Arial"/>
          <w:b/>
          <w:color w:val="D51366"/>
          <w:sz w:val="16"/>
          <w:szCs w:val="16"/>
        </w:rPr>
      </w:pPr>
      <w:r w:rsidRPr="00F4779C">
        <w:rPr>
          <w:rFonts w:ascii="Verdana" w:hAnsi="Verdana" w:cs="Arial"/>
          <w:b/>
          <w:color w:val="D51366"/>
          <w:sz w:val="16"/>
          <w:szCs w:val="16"/>
        </w:rPr>
        <w:t>2</w:t>
      </w:r>
      <w:r w:rsidR="00F64ED0" w:rsidRPr="00F4779C">
        <w:rPr>
          <w:rFonts w:ascii="Verdana" w:hAnsi="Verdana" w:cs="Arial"/>
          <w:b/>
          <w:color w:val="D51366"/>
          <w:sz w:val="16"/>
          <w:szCs w:val="16"/>
        </w:rPr>
        <w:t>.</w:t>
      </w:r>
      <w:r w:rsidRPr="00F4779C">
        <w:rPr>
          <w:rFonts w:ascii="Verdana" w:hAnsi="Verdana" w:cs="Arial"/>
          <w:b/>
          <w:color w:val="D51366"/>
          <w:sz w:val="16"/>
          <w:szCs w:val="16"/>
        </w:rPr>
        <w:t xml:space="preserve"> Résultats individuels </w:t>
      </w:r>
      <w:r w:rsidR="00F64ED0" w:rsidRPr="00F4779C">
        <w:rPr>
          <w:rFonts w:ascii="Verdana" w:hAnsi="Verdana" w:cs="Arial"/>
          <w:b/>
          <w:color w:val="D51366"/>
          <w:sz w:val="16"/>
          <w:szCs w:val="16"/>
        </w:rPr>
        <w:t>– Proposition d'affectation du résultat</w:t>
      </w:r>
    </w:p>
    <w:p w:rsidR="00850A44" w:rsidRPr="00F4779C" w:rsidRDefault="00850A44" w:rsidP="004942B7">
      <w:pPr>
        <w:pStyle w:val="Formatlibre"/>
        <w:keepNext/>
        <w:tabs>
          <w:tab w:val="left" w:pos="2480"/>
        </w:tabs>
        <w:ind w:left="960"/>
        <w:rPr>
          <w:rFonts w:ascii="Verdana" w:hAnsi="Verdana" w:cs="Arial"/>
          <w:b/>
          <w:color w:val="D51366"/>
          <w:sz w:val="16"/>
          <w:szCs w:val="16"/>
        </w:rPr>
      </w:pPr>
    </w:p>
    <w:p w:rsidR="00F64ED0" w:rsidRPr="00F4779C" w:rsidRDefault="00F64ED0" w:rsidP="004942B7">
      <w:pPr>
        <w:pStyle w:val="Formatlibre"/>
        <w:tabs>
          <w:tab w:val="left" w:pos="2480"/>
        </w:tabs>
        <w:ind w:left="482"/>
        <w:rPr>
          <w:rFonts w:ascii="Verdana" w:hAnsi="Verdana" w:cs="Arial"/>
          <w:b/>
          <w:color w:val="D51366"/>
          <w:sz w:val="16"/>
          <w:szCs w:val="16"/>
        </w:rPr>
      </w:pPr>
      <w:r w:rsidRPr="00F4779C">
        <w:rPr>
          <w:rFonts w:ascii="Verdana" w:hAnsi="Verdana" w:cs="Arial"/>
          <w:b/>
          <w:color w:val="D51366"/>
          <w:sz w:val="16"/>
          <w:szCs w:val="16"/>
        </w:rPr>
        <w:t>2.1 Résultats individuels</w:t>
      </w:r>
    </w:p>
    <w:p w:rsidR="00F64ED0" w:rsidRPr="00F4779C" w:rsidRDefault="00F64ED0" w:rsidP="004942B7">
      <w:pPr>
        <w:pStyle w:val="Formatlibre"/>
        <w:keepNext/>
        <w:jc w:val="both"/>
        <w:rPr>
          <w:rFonts w:ascii="Verdana" w:hAnsi="Verdana" w:cs="Arial"/>
          <w:color w:val="4C4E53"/>
          <w:sz w:val="16"/>
          <w:szCs w:val="16"/>
        </w:rPr>
      </w:pPr>
    </w:p>
    <w:p w:rsidR="00850A44" w:rsidRPr="00F4779C" w:rsidRDefault="00850A44" w:rsidP="004942B7">
      <w:pPr>
        <w:pStyle w:val="Formatlibre"/>
        <w:keepNext/>
        <w:jc w:val="both"/>
        <w:rPr>
          <w:rFonts w:ascii="Verdana" w:hAnsi="Verdana" w:cs="Arial"/>
          <w:color w:val="4C4E53"/>
          <w:sz w:val="16"/>
          <w:szCs w:val="16"/>
        </w:rPr>
      </w:pPr>
      <w:r w:rsidRPr="00F4779C">
        <w:rPr>
          <w:rFonts w:ascii="Verdana" w:hAnsi="Verdana" w:cs="Arial"/>
          <w:color w:val="4C4E53"/>
          <w:sz w:val="16"/>
          <w:szCs w:val="16"/>
        </w:rPr>
        <w:t>Les comptes annuels de l’exercice clos le 31 décembre 2013 ont été établis dans le respect des principes comptables et notamment des principes de prudence, de continuité de l’exploitation, de permanence des méthodes comptables et d’indépendance des exercices. Des informations concernant les méthodes d’évaluation et de présentation des comptes annuels et les éventuels changements qui y ont été apportés figurent dans l'annexe aux comptes annuels.</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La société mère VIDELIO est un holding et n’a donc pas d’activité propre, à l’exception des prestations de services qu’elle fournit aux sociétés du Groupe, directement ou par l’intermédiaire du GIE VIDELIO-Management.</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keepNext/>
        <w:rPr>
          <w:rFonts w:ascii="Verdana" w:hAnsi="Verdana" w:cs="Arial"/>
          <w:b/>
          <w:i/>
          <w:color w:val="D51366"/>
          <w:sz w:val="16"/>
          <w:szCs w:val="16"/>
          <w:u w:color="000065"/>
        </w:rPr>
      </w:pPr>
      <w:r w:rsidRPr="00F4779C">
        <w:rPr>
          <w:rFonts w:ascii="Verdana" w:hAnsi="Verdana" w:cs="Arial"/>
          <w:b/>
          <w:i/>
          <w:color w:val="D51366"/>
          <w:sz w:val="16"/>
          <w:szCs w:val="16"/>
          <w:u w:color="000065"/>
        </w:rPr>
        <w:lastRenderedPageBreak/>
        <w:t>Compte d’exploitation simplifié</w:t>
      </w:r>
    </w:p>
    <w:p w:rsidR="00850A44" w:rsidRPr="00F4779C" w:rsidRDefault="00850A44" w:rsidP="004942B7">
      <w:pPr>
        <w:pStyle w:val="Formatlibre"/>
        <w:keepNext/>
        <w:rPr>
          <w:rFonts w:ascii="Verdana" w:hAnsi="Verdana" w:cs="Arial"/>
          <w:color w:val="4C4E53"/>
          <w:sz w:val="16"/>
          <w:szCs w:val="16"/>
          <w:u w:color="000065"/>
        </w:rPr>
      </w:pPr>
    </w:p>
    <w:tbl>
      <w:tblPr>
        <w:tblW w:w="0" w:type="auto"/>
        <w:tblInd w:w="80" w:type="dxa"/>
        <w:tblBorders>
          <w:top w:val="single" w:sz="2" w:space="0" w:color="4C4E53"/>
          <w:left w:val="single" w:sz="2" w:space="0" w:color="4C4E53"/>
          <w:bottom w:val="single" w:sz="2" w:space="0" w:color="4C4E53"/>
          <w:right w:val="single" w:sz="2" w:space="0" w:color="4C4E53"/>
          <w:insideH w:val="single" w:sz="2" w:space="0" w:color="4C4E53"/>
          <w:insideV w:val="single" w:sz="2" w:space="0" w:color="4C4E53"/>
        </w:tblBorders>
        <w:shd w:val="clear" w:color="auto" w:fill="FFFFFF"/>
        <w:tblLayout w:type="fixed"/>
        <w:tblLook w:val="0000"/>
      </w:tblPr>
      <w:tblGrid>
        <w:gridCol w:w="4535"/>
        <w:gridCol w:w="1701"/>
        <w:gridCol w:w="1701"/>
        <w:gridCol w:w="1701"/>
      </w:tblGrid>
      <w:tr w:rsidR="00850A44" w:rsidRPr="00F4779C" w:rsidTr="00DF378B">
        <w:trPr>
          <w:cantSplit/>
          <w:trHeight w:val="20"/>
        </w:trPr>
        <w:tc>
          <w:tcPr>
            <w:tcW w:w="4535"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En K€</w:t>
            </w:r>
          </w:p>
        </w:tc>
        <w:tc>
          <w:tcPr>
            <w:tcW w:w="1701" w:type="dxa"/>
            <w:tcBorders>
              <w:top w:val="single" w:sz="12" w:space="0" w:color="D51366"/>
              <w:left w:val="single" w:sz="12" w:space="0" w:color="D51366"/>
              <w:bottom w:val="single" w:sz="12" w:space="0" w:color="D51366"/>
              <w:right w:val="single" w:sz="12" w:space="0" w:color="D51366"/>
            </w:tcBorders>
            <w:shd w:val="clear" w:color="auto" w:fill="FFFFFF"/>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2013</w:t>
            </w:r>
          </w:p>
        </w:tc>
        <w:tc>
          <w:tcPr>
            <w:tcW w:w="1701"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2012</w:t>
            </w:r>
          </w:p>
        </w:tc>
        <w:tc>
          <w:tcPr>
            <w:tcW w:w="1701"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Evolution 2012/2013 (%)</w:t>
            </w:r>
          </w:p>
        </w:tc>
      </w:tr>
      <w:tr w:rsidR="00850A44" w:rsidRPr="00F4779C" w:rsidTr="00DF378B">
        <w:trPr>
          <w:cantSplit/>
          <w:trHeight w:val="20"/>
        </w:trPr>
        <w:tc>
          <w:tcPr>
            <w:tcW w:w="4535"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Produits des activités annexes</w:t>
            </w:r>
          </w:p>
        </w:tc>
        <w:tc>
          <w:tcPr>
            <w:tcW w:w="1701" w:type="dxa"/>
            <w:tcBorders>
              <w:top w:val="single" w:sz="12" w:space="0" w:color="D51366"/>
            </w:tcBorders>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5 589</w:t>
            </w:r>
          </w:p>
        </w:tc>
        <w:tc>
          <w:tcPr>
            <w:tcW w:w="1701"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5 857</w:t>
            </w:r>
          </w:p>
        </w:tc>
        <w:tc>
          <w:tcPr>
            <w:tcW w:w="1701"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-4,58</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Total charges d’exploitation</w:t>
            </w:r>
          </w:p>
        </w:tc>
        <w:tc>
          <w:tcPr>
            <w:tcW w:w="1701"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5 494</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4 855</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13,16</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Ebitda</w:t>
            </w:r>
          </w:p>
        </w:tc>
        <w:tc>
          <w:tcPr>
            <w:tcW w:w="1701"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123</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1 026</w:t>
            </w:r>
          </w:p>
        </w:tc>
        <w:tc>
          <w:tcPr>
            <w:tcW w:w="1701" w:type="dxa"/>
            <w:shd w:val="clear" w:color="auto" w:fill="auto"/>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-88,01</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Ebit</w:t>
            </w:r>
          </w:p>
        </w:tc>
        <w:tc>
          <w:tcPr>
            <w:tcW w:w="1701"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101</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1 005</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-89,95</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Résultat financier</w:t>
            </w:r>
          </w:p>
        </w:tc>
        <w:tc>
          <w:tcPr>
            <w:tcW w:w="1701"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6 441</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-106</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-NC</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Résultat exceptionnel</w:t>
            </w:r>
          </w:p>
        </w:tc>
        <w:tc>
          <w:tcPr>
            <w:tcW w:w="1701"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-1 886</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-536</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-251,98</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Impôts sur les bénéfices (produit d’intégration fiscale)</w:t>
            </w:r>
          </w:p>
        </w:tc>
        <w:tc>
          <w:tcPr>
            <w:tcW w:w="1701"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880</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643</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36,86</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Résultat net</w:t>
            </w:r>
          </w:p>
        </w:tc>
        <w:tc>
          <w:tcPr>
            <w:tcW w:w="1701"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5 536</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1 006</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450,29</w:t>
            </w:r>
          </w:p>
        </w:tc>
      </w:tr>
    </w:tbl>
    <w:p w:rsidR="00850A44" w:rsidRPr="00F4779C" w:rsidRDefault="00850A44" w:rsidP="004942B7">
      <w:pPr>
        <w:pStyle w:val="Formatlibre"/>
        <w:jc w:val="both"/>
        <w:rPr>
          <w:rFonts w:ascii="Verdana" w:hAnsi="Verdana" w:cs="Arial"/>
          <w:color w:val="4C4E53"/>
          <w:sz w:val="16"/>
          <w:szCs w:val="16"/>
          <w:u w:color="000065"/>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Le produit des activités annexes s’établit à 5 589 K€ au cours de l’exercice 2013 contre 5 857 K€ en 2012.</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Les charges d’exploitation s’établissent à 5 494 K€ en 2013 contre 4 855 K€ en 2012.</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L’Ebitda ressort à 123 K€ au 31 décembre 2013 contre 1 026 K€ au 31 décembre 2012.</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 xml:space="preserve">L’Ebit ressort à 101 K€ au 31 décembre 2013 contre 1 005 K€ au 31 décembre 2012. En 2012, des charges exceptionnelles pour 509 K€ ont été refacturées aux filiales et impactaient positivement le résultat d’exploitation. </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Le résultat financier est de 6 441 K€ en 2013 contre -106 K€ en 2012. Il s’agit principalement des dividendes versés par les sociétés du Groupe pour un montant de 4 020 K€ et des reprises de provisions pour dépréciation des titres des filiales pour 2 624 K€.</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Le résultat exceptionnel est négatif de 1 886 K€ et correspond, pour l’essentiel, à la valeur nette comptable des titres d’Audio Equipement pour 1 954 K€ (société cédée à VIDELIO - IEC – cf. ci-dessus).</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Le montant de l’impôt correspond pour 1 014 K€ au profit d’intégration fiscale dégagé sur le Groupe et pour 104 K€ à la charge d’impôt sur les sociétés. Il ressort à 880 K€ en 2013 contre 643 K€ en 2012.</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Le résultat net qui en découle en 2013 est un bénéfice de 5 536 K€ contre un bénéfice de 1 006 K€ en 2012.</w:t>
      </w:r>
    </w:p>
    <w:p w:rsidR="00850A44" w:rsidRPr="00F4779C" w:rsidRDefault="00850A44" w:rsidP="004942B7">
      <w:pPr>
        <w:spacing w:line="240" w:lineRule="auto"/>
        <w:jc w:val="both"/>
        <w:rPr>
          <w:rFonts w:ascii="Verdana" w:hAnsi="Verdana" w:cs="Arial"/>
          <w:color w:val="4C4E53"/>
          <w:sz w:val="16"/>
          <w:szCs w:val="16"/>
        </w:rPr>
      </w:pPr>
    </w:p>
    <w:p w:rsidR="00850A44" w:rsidRPr="00F4779C" w:rsidRDefault="00850A44" w:rsidP="004942B7">
      <w:pPr>
        <w:pStyle w:val="Formatlibre"/>
        <w:keepNext/>
        <w:rPr>
          <w:rFonts w:ascii="Verdana" w:hAnsi="Verdana" w:cs="Arial"/>
          <w:b/>
          <w:i/>
          <w:color w:val="D51366"/>
          <w:sz w:val="16"/>
          <w:szCs w:val="16"/>
          <w:u w:color="000065"/>
        </w:rPr>
      </w:pPr>
      <w:r w:rsidRPr="00F4779C">
        <w:rPr>
          <w:rFonts w:ascii="Verdana" w:hAnsi="Verdana" w:cs="Arial"/>
          <w:b/>
          <w:i/>
          <w:color w:val="D51366"/>
          <w:sz w:val="16"/>
          <w:szCs w:val="16"/>
          <w:u w:color="000065"/>
        </w:rPr>
        <w:t>Bilan simplifié</w:t>
      </w:r>
    </w:p>
    <w:p w:rsidR="00850A44" w:rsidRPr="00F4779C" w:rsidRDefault="00850A44" w:rsidP="004942B7">
      <w:pPr>
        <w:pStyle w:val="Formatlibre"/>
        <w:keepNext/>
        <w:rPr>
          <w:rFonts w:ascii="Verdana" w:hAnsi="Verdana" w:cs="Arial"/>
          <w:color w:val="4C4E53"/>
          <w:sz w:val="16"/>
          <w:szCs w:val="16"/>
          <w:u w:color="000065"/>
        </w:rPr>
      </w:pPr>
    </w:p>
    <w:tbl>
      <w:tblPr>
        <w:tblW w:w="0" w:type="auto"/>
        <w:tblInd w:w="80" w:type="dxa"/>
        <w:tblBorders>
          <w:top w:val="single" w:sz="2" w:space="0" w:color="4C4E53"/>
          <w:left w:val="single" w:sz="2" w:space="0" w:color="4C4E53"/>
          <w:bottom w:val="single" w:sz="2" w:space="0" w:color="4C4E53"/>
          <w:right w:val="single" w:sz="2" w:space="0" w:color="4C4E53"/>
          <w:insideH w:val="single" w:sz="2" w:space="0" w:color="4C4E53"/>
          <w:insideV w:val="single" w:sz="2" w:space="0" w:color="4C4E53"/>
        </w:tblBorders>
        <w:shd w:val="clear" w:color="auto" w:fill="FFFFFF"/>
        <w:tblLayout w:type="fixed"/>
        <w:tblLook w:val="0000"/>
      </w:tblPr>
      <w:tblGrid>
        <w:gridCol w:w="4535"/>
        <w:gridCol w:w="1701"/>
        <w:gridCol w:w="1701"/>
        <w:gridCol w:w="1701"/>
      </w:tblGrid>
      <w:tr w:rsidR="00850A44" w:rsidRPr="00F4779C" w:rsidTr="00DF378B">
        <w:trPr>
          <w:cantSplit/>
          <w:trHeight w:val="20"/>
        </w:trPr>
        <w:tc>
          <w:tcPr>
            <w:tcW w:w="4535"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ACTIF (K€)</w:t>
            </w:r>
          </w:p>
        </w:tc>
        <w:tc>
          <w:tcPr>
            <w:tcW w:w="1701" w:type="dxa"/>
            <w:tcBorders>
              <w:top w:val="single" w:sz="12" w:space="0" w:color="D51366"/>
              <w:left w:val="single" w:sz="12" w:space="0" w:color="D51366"/>
              <w:bottom w:val="single" w:sz="12" w:space="0" w:color="D51366"/>
              <w:right w:val="single" w:sz="12" w:space="0" w:color="D51366"/>
            </w:tcBorders>
            <w:shd w:val="clear" w:color="auto" w:fill="FFFFFF"/>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2013</w:t>
            </w:r>
          </w:p>
        </w:tc>
        <w:tc>
          <w:tcPr>
            <w:tcW w:w="1701"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2012</w:t>
            </w:r>
          </w:p>
        </w:tc>
        <w:tc>
          <w:tcPr>
            <w:tcW w:w="1701"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Evolution 2012/2013 (%)</w:t>
            </w:r>
          </w:p>
        </w:tc>
      </w:tr>
      <w:tr w:rsidR="00850A44" w:rsidRPr="00F4779C" w:rsidTr="00DF378B">
        <w:trPr>
          <w:cantSplit/>
          <w:trHeight w:val="20"/>
        </w:trPr>
        <w:tc>
          <w:tcPr>
            <w:tcW w:w="4535"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Actif immobilisé</w:t>
            </w:r>
          </w:p>
        </w:tc>
        <w:tc>
          <w:tcPr>
            <w:tcW w:w="1701" w:type="dxa"/>
            <w:tcBorders>
              <w:top w:val="single" w:sz="12" w:space="0" w:color="D51366"/>
            </w:tcBorders>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56 018</w:t>
            </w:r>
          </w:p>
        </w:tc>
        <w:tc>
          <w:tcPr>
            <w:tcW w:w="1701"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55 727</w:t>
            </w:r>
          </w:p>
        </w:tc>
        <w:tc>
          <w:tcPr>
            <w:tcW w:w="1701"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135563">
            <w:pPr>
              <w:pStyle w:val="Formatlibre"/>
              <w:keepNext/>
              <w:rPr>
                <w:rFonts w:ascii="Verdana" w:hAnsi="Verdana" w:cs="Arial"/>
                <w:color w:val="4C4E53"/>
                <w:sz w:val="14"/>
                <w:szCs w:val="14"/>
              </w:rPr>
            </w:pPr>
            <w:r w:rsidRPr="00F4779C">
              <w:rPr>
                <w:rFonts w:ascii="Verdana" w:hAnsi="Verdana" w:cs="Arial"/>
                <w:color w:val="4C4E53"/>
                <w:sz w:val="14"/>
                <w:szCs w:val="14"/>
              </w:rPr>
              <w:t>0</w:t>
            </w:r>
            <w:r w:rsidR="00135563" w:rsidRPr="00F4779C">
              <w:rPr>
                <w:rFonts w:ascii="Verdana" w:hAnsi="Verdana" w:cs="Arial"/>
                <w:color w:val="4C4E53"/>
                <w:sz w:val="14"/>
                <w:szCs w:val="14"/>
              </w:rPr>
              <w:t>,</w:t>
            </w:r>
            <w:r w:rsidRPr="00F4779C">
              <w:rPr>
                <w:rFonts w:ascii="Verdana" w:hAnsi="Verdana" w:cs="Arial"/>
                <w:color w:val="4C4E53"/>
                <w:sz w:val="14"/>
                <w:szCs w:val="14"/>
              </w:rPr>
              <w:t>52</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dont immobilisations financières</w:t>
            </w:r>
          </w:p>
        </w:tc>
        <w:tc>
          <w:tcPr>
            <w:tcW w:w="1701" w:type="dxa"/>
            <w:shd w:val="clear" w:color="auto" w:fill="FFFFFF"/>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53 595</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53 374</w:t>
            </w:r>
          </w:p>
        </w:tc>
        <w:tc>
          <w:tcPr>
            <w:tcW w:w="1701" w:type="dxa"/>
            <w:shd w:val="clear" w:color="auto" w:fill="auto"/>
            <w:tcMar>
              <w:top w:w="80" w:type="dxa"/>
              <w:left w:w="80" w:type="dxa"/>
              <w:bottom w:w="80" w:type="dxa"/>
              <w:right w:w="80" w:type="dxa"/>
            </w:tcMar>
          </w:tcPr>
          <w:p w:rsidR="00850A44" w:rsidRPr="00F4779C" w:rsidRDefault="00850A44" w:rsidP="00135563">
            <w:pPr>
              <w:pStyle w:val="Formatlibre"/>
              <w:keepNext/>
              <w:rPr>
                <w:rFonts w:ascii="Verdana" w:hAnsi="Verdana" w:cs="Arial"/>
                <w:i/>
                <w:color w:val="4C4E53"/>
                <w:sz w:val="14"/>
                <w:szCs w:val="14"/>
              </w:rPr>
            </w:pPr>
            <w:r w:rsidRPr="00F4779C">
              <w:rPr>
                <w:rFonts w:ascii="Verdana" w:hAnsi="Verdana" w:cs="Arial"/>
                <w:i/>
                <w:color w:val="4C4E53"/>
                <w:sz w:val="14"/>
                <w:szCs w:val="14"/>
              </w:rPr>
              <w:t>0</w:t>
            </w:r>
            <w:r w:rsidR="00135563" w:rsidRPr="00F4779C">
              <w:rPr>
                <w:rFonts w:ascii="Verdana" w:hAnsi="Verdana" w:cs="Arial"/>
                <w:i/>
                <w:color w:val="4C4E53"/>
                <w:sz w:val="14"/>
                <w:szCs w:val="14"/>
              </w:rPr>
              <w:t>,</w:t>
            </w:r>
            <w:r w:rsidRPr="00F4779C">
              <w:rPr>
                <w:rFonts w:ascii="Verdana" w:hAnsi="Verdana" w:cs="Arial"/>
                <w:i/>
                <w:color w:val="4C4E53"/>
                <w:sz w:val="14"/>
                <w:szCs w:val="14"/>
              </w:rPr>
              <w:t>41</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Actif circulant</w:t>
            </w:r>
          </w:p>
        </w:tc>
        <w:tc>
          <w:tcPr>
            <w:tcW w:w="1701"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11 147</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7 147</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55,97</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 xml:space="preserve">dont autres créances </w:t>
            </w:r>
          </w:p>
        </w:tc>
        <w:tc>
          <w:tcPr>
            <w:tcW w:w="1701" w:type="dxa"/>
            <w:shd w:val="clear" w:color="auto" w:fill="FFFFFF"/>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5 339</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3 315</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61,06</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Total Actif</w:t>
            </w:r>
          </w:p>
        </w:tc>
        <w:tc>
          <w:tcPr>
            <w:tcW w:w="1701"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67 165</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62 873</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6,83</w:t>
            </w:r>
          </w:p>
        </w:tc>
      </w:tr>
    </w:tbl>
    <w:p w:rsidR="00850A44" w:rsidRPr="00F4779C" w:rsidRDefault="00850A44" w:rsidP="004942B7">
      <w:pPr>
        <w:pStyle w:val="Formatlibre"/>
        <w:rPr>
          <w:rFonts w:ascii="Verdana" w:hAnsi="Verdana" w:cs="Arial"/>
          <w:color w:val="4C4E53"/>
          <w:sz w:val="16"/>
          <w:szCs w:val="16"/>
          <w:u w:color="000065"/>
        </w:rPr>
      </w:pPr>
    </w:p>
    <w:tbl>
      <w:tblPr>
        <w:tblW w:w="0" w:type="auto"/>
        <w:tblInd w:w="80" w:type="dxa"/>
        <w:tblBorders>
          <w:top w:val="single" w:sz="2" w:space="0" w:color="4C4E53"/>
          <w:left w:val="single" w:sz="2" w:space="0" w:color="4C4E53"/>
          <w:bottom w:val="single" w:sz="2" w:space="0" w:color="4C4E53"/>
          <w:right w:val="single" w:sz="2" w:space="0" w:color="4C4E53"/>
          <w:insideH w:val="single" w:sz="2" w:space="0" w:color="4C4E53"/>
          <w:insideV w:val="single" w:sz="2" w:space="0" w:color="4C4E53"/>
        </w:tblBorders>
        <w:shd w:val="clear" w:color="auto" w:fill="FFFFFF"/>
        <w:tblLayout w:type="fixed"/>
        <w:tblLook w:val="0000"/>
      </w:tblPr>
      <w:tblGrid>
        <w:gridCol w:w="4535"/>
        <w:gridCol w:w="1701"/>
        <w:gridCol w:w="1701"/>
        <w:gridCol w:w="1701"/>
      </w:tblGrid>
      <w:tr w:rsidR="00850A44" w:rsidRPr="00F4779C" w:rsidTr="00DF378B">
        <w:trPr>
          <w:cantSplit/>
          <w:trHeight w:val="20"/>
        </w:trPr>
        <w:tc>
          <w:tcPr>
            <w:tcW w:w="4535"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lastRenderedPageBreak/>
              <w:t>PASSIF (K€)</w:t>
            </w:r>
          </w:p>
        </w:tc>
        <w:tc>
          <w:tcPr>
            <w:tcW w:w="1701" w:type="dxa"/>
            <w:tcBorders>
              <w:top w:val="single" w:sz="12" w:space="0" w:color="D51366"/>
              <w:left w:val="single" w:sz="12" w:space="0" w:color="D51366"/>
              <w:bottom w:val="single" w:sz="12" w:space="0" w:color="D51366"/>
              <w:right w:val="single" w:sz="12" w:space="0" w:color="D51366"/>
            </w:tcBorders>
            <w:shd w:val="clear" w:color="auto" w:fill="FFFFFF"/>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2013</w:t>
            </w:r>
          </w:p>
        </w:tc>
        <w:tc>
          <w:tcPr>
            <w:tcW w:w="1701"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2012</w:t>
            </w:r>
          </w:p>
        </w:tc>
        <w:tc>
          <w:tcPr>
            <w:tcW w:w="1701" w:type="dxa"/>
            <w:tcBorders>
              <w:top w:val="single" w:sz="12" w:space="0" w:color="D51366"/>
              <w:left w:val="single" w:sz="12" w:space="0" w:color="D51366"/>
              <w:bottom w:val="single" w:sz="12" w:space="0" w:color="D51366"/>
              <w:right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b/>
                <w:color w:val="D51366"/>
                <w:sz w:val="14"/>
                <w:szCs w:val="14"/>
              </w:rPr>
            </w:pPr>
            <w:r w:rsidRPr="00F4779C">
              <w:rPr>
                <w:rFonts w:ascii="Verdana" w:hAnsi="Verdana" w:cs="Arial"/>
                <w:b/>
                <w:color w:val="D51366"/>
                <w:sz w:val="14"/>
                <w:szCs w:val="14"/>
              </w:rPr>
              <w:t>Evolution 2012/2013 (%)</w:t>
            </w:r>
          </w:p>
        </w:tc>
      </w:tr>
      <w:tr w:rsidR="00850A44" w:rsidRPr="00F4779C" w:rsidTr="00DF378B">
        <w:trPr>
          <w:cantSplit/>
          <w:trHeight w:val="20"/>
        </w:trPr>
        <w:tc>
          <w:tcPr>
            <w:tcW w:w="4535"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 xml:space="preserve">Capitaux propres </w:t>
            </w:r>
          </w:p>
        </w:tc>
        <w:tc>
          <w:tcPr>
            <w:tcW w:w="1701" w:type="dxa"/>
            <w:tcBorders>
              <w:top w:val="single" w:sz="12" w:space="0" w:color="D51366"/>
            </w:tcBorders>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53 981</w:t>
            </w:r>
          </w:p>
        </w:tc>
        <w:tc>
          <w:tcPr>
            <w:tcW w:w="1701"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49 112</w:t>
            </w:r>
          </w:p>
        </w:tc>
        <w:tc>
          <w:tcPr>
            <w:tcW w:w="1701" w:type="dxa"/>
            <w:tcBorders>
              <w:top w:val="single" w:sz="12" w:space="0" w:color="D51366"/>
            </w:tcBorders>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9,91</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dont résultat de l’exercice</w:t>
            </w:r>
          </w:p>
        </w:tc>
        <w:tc>
          <w:tcPr>
            <w:tcW w:w="1701" w:type="dxa"/>
            <w:shd w:val="clear" w:color="auto" w:fill="FFFFFF"/>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5 536</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1 006</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450,30</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Dettes</w:t>
            </w:r>
          </w:p>
        </w:tc>
        <w:tc>
          <w:tcPr>
            <w:tcW w:w="1701"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12 775</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13 761</w:t>
            </w:r>
          </w:p>
        </w:tc>
        <w:tc>
          <w:tcPr>
            <w:tcW w:w="1701" w:type="dxa"/>
            <w:shd w:val="clear" w:color="auto" w:fill="auto"/>
            <w:tcMar>
              <w:top w:w="80" w:type="dxa"/>
              <w:left w:w="80" w:type="dxa"/>
              <w:bottom w:w="80" w:type="dxa"/>
              <w:right w:w="80" w:type="dxa"/>
            </w:tcMar>
          </w:tcPr>
          <w:p w:rsidR="00850A44" w:rsidRPr="00F4779C" w:rsidRDefault="00850A44" w:rsidP="00135563">
            <w:pPr>
              <w:pStyle w:val="Formatlibre"/>
              <w:keepNext/>
              <w:rPr>
                <w:rFonts w:ascii="Verdana" w:hAnsi="Verdana" w:cs="Arial"/>
                <w:color w:val="4C4E53"/>
                <w:sz w:val="14"/>
                <w:szCs w:val="14"/>
              </w:rPr>
            </w:pPr>
            <w:r w:rsidRPr="00F4779C">
              <w:rPr>
                <w:rFonts w:ascii="Verdana" w:hAnsi="Verdana" w:cs="Arial"/>
                <w:color w:val="4C4E53"/>
                <w:sz w:val="14"/>
                <w:szCs w:val="14"/>
              </w:rPr>
              <w:t>- 7</w:t>
            </w:r>
            <w:r w:rsidR="00135563" w:rsidRPr="00F4779C">
              <w:rPr>
                <w:rFonts w:ascii="Verdana" w:hAnsi="Verdana" w:cs="Arial"/>
                <w:color w:val="4C4E53"/>
                <w:sz w:val="14"/>
                <w:szCs w:val="14"/>
              </w:rPr>
              <w:t>,</w:t>
            </w:r>
            <w:r w:rsidRPr="00F4779C">
              <w:rPr>
                <w:rFonts w:ascii="Verdana" w:hAnsi="Verdana" w:cs="Arial"/>
                <w:color w:val="4C4E53"/>
                <w:sz w:val="14"/>
                <w:szCs w:val="14"/>
              </w:rPr>
              <w:t>17</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 xml:space="preserve">dont emprunts et dettes financières </w:t>
            </w:r>
          </w:p>
        </w:tc>
        <w:tc>
          <w:tcPr>
            <w:tcW w:w="1701" w:type="dxa"/>
            <w:shd w:val="clear" w:color="auto" w:fill="FFFFFF"/>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8 747</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i/>
                <w:color w:val="4C4E53"/>
                <w:sz w:val="14"/>
                <w:szCs w:val="14"/>
              </w:rPr>
            </w:pPr>
            <w:r w:rsidRPr="00F4779C">
              <w:rPr>
                <w:rFonts w:ascii="Verdana" w:hAnsi="Verdana" w:cs="Arial"/>
                <w:i/>
                <w:color w:val="4C4E53"/>
                <w:sz w:val="14"/>
                <w:szCs w:val="14"/>
              </w:rPr>
              <w:t>8 621</w:t>
            </w:r>
          </w:p>
        </w:tc>
        <w:tc>
          <w:tcPr>
            <w:tcW w:w="1701" w:type="dxa"/>
            <w:shd w:val="clear" w:color="auto" w:fill="auto"/>
            <w:tcMar>
              <w:top w:w="80" w:type="dxa"/>
              <w:left w:w="80" w:type="dxa"/>
              <w:bottom w:w="80" w:type="dxa"/>
              <w:right w:w="80" w:type="dxa"/>
            </w:tcMar>
          </w:tcPr>
          <w:p w:rsidR="00850A44" w:rsidRPr="00F4779C" w:rsidRDefault="00850A44" w:rsidP="00135563">
            <w:pPr>
              <w:pStyle w:val="Formatlibre"/>
              <w:keepNext/>
              <w:rPr>
                <w:rFonts w:ascii="Verdana" w:hAnsi="Verdana" w:cs="Arial"/>
                <w:i/>
                <w:color w:val="4C4E53"/>
                <w:sz w:val="14"/>
                <w:szCs w:val="14"/>
              </w:rPr>
            </w:pPr>
            <w:r w:rsidRPr="00F4779C">
              <w:rPr>
                <w:rFonts w:ascii="Verdana" w:hAnsi="Verdana" w:cs="Arial"/>
                <w:i/>
                <w:color w:val="4C4E53"/>
                <w:sz w:val="14"/>
                <w:szCs w:val="14"/>
              </w:rPr>
              <w:t>1</w:t>
            </w:r>
            <w:r w:rsidR="00135563" w:rsidRPr="00F4779C">
              <w:rPr>
                <w:rFonts w:ascii="Verdana" w:hAnsi="Verdana" w:cs="Arial"/>
                <w:i/>
                <w:color w:val="4C4E53"/>
                <w:sz w:val="14"/>
                <w:szCs w:val="14"/>
              </w:rPr>
              <w:t>,</w:t>
            </w:r>
            <w:r w:rsidRPr="00F4779C">
              <w:rPr>
                <w:rFonts w:ascii="Verdana" w:hAnsi="Verdana" w:cs="Arial"/>
                <w:i/>
                <w:color w:val="4C4E53"/>
                <w:sz w:val="14"/>
                <w:szCs w:val="14"/>
              </w:rPr>
              <w:t>46</w:t>
            </w:r>
          </w:p>
        </w:tc>
      </w:tr>
      <w:tr w:rsidR="00850A44" w:rsidRPr="00F4779C" w:rsidTr="00B21E93">
        <w:trPr>
          <w:cantSplit/>
          <w:trHeight w:val="20"/>
        </w:trPr>
        <w:tc>
          <w:tcPr>
            <w:tcW w:w="4535"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Total Passif</w:t>
            </w:r>
          </w:p>
        </w:tc>
        <w:tc>
          <w:tcPr>
            <w:tcW w:w="1701" w:type="dxa"/>
            <w:shd w:val="clear" w:color="auto" w:fill="FFFFFF"/>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67 165</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62 873</w:t>
            </w:r>
          </w:p>
        </w:tc>
        <w:tc>
          <w:tcPr>
            <w:tcW w:w="1701" w:type="dxa"/>
            <w:shd w:val="clear" w:color="auto" w:fill="FFFFFF"/>
            <w:tcMar>
              <w:top w:w="80" w:type="dxa"/>
              <w:left w:w="80" w:type="dxa"/>
              <w:bottom w:w="80" w:type="dxa"/>
              <w:right w:w="80" w:type="dxa"/>
            </w:tcMar>
          </w:tcPr>
          <w:p w:rsidR="00850A44" w:rsidRPr="00F4779C" w:rsidRDefault="00850A44" w:rsidP="004942B7">
            <w:pPr>
              <w:pStyle w:val="Formatlibre"/>
              <w:keepNext/>
              <w:rPr>
                <w:rFonts w:ascii="Verdana" w:hAnsi="Verdana" w:cs="Arial"/>
                <w:color w:val="4C4E53"/>
                <w:sz w:val="14"/>
                <w:szCs w:val="14"/>
              </w:rPr>
            </w:pPr>
            <w:r w:rsidRPr="00F4779C">
              <w:rPr>
                <w:rFonts w:ascii="Verdana" w:hAnsi="Verdana" w:cs="Arial"/>
                <w:color w:val="4C4E53"/>
                <w:sz w:val="14"/>
                <w:szCs w:val="14"/>
              </w:rPr>
              <w:t>6,83</w:t>
            </w:r>
          </w:p>
        </w:tc>
      </w:tr>
    </w:tbl>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Les capitaux propres s’élèvent à 53 981 K€ au 31 décembre 2013 contre 49 112 K€ au 31 décembre 2012. Cette variation est liée principalement au résultat de l'exercice, ainsi qu'à l'augmentation de capital résultant de l'exercice d'options de souscription d'actions (cf. ci-dessus) et à la distribution de primes d'émission votée par l'assemblée générale ordinaire annuelle du 28 juin 2013 pour un montant de 970 192 €.</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 xml:space="preserve">Les emprunts et dettes financières ressortent à 8 747 K€ au 31 décembre 2013 contre 8 621 K€ au 31 décembre 2012. </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S’agissant des dettes fournisseurs dont le montant s’élève à 1 519 K€ à la clôture de l’exercice, conformément aux dispositions des articles L. 441-6-1 et D. 441-4 du Code de commerce, le tableau ci-dessous présente la décomposition à la clôture des deux derniers exercices du solde des dettes par date d’échéance :</w:t>
      </w:r>
    </w:p>
    <w:p w:rsidR="00850A44" w:rsidRPr="00F4779C" w:rsidRDefault="00850A44" w:rsidP="004942B7">
      <w:pPr>
        <w:spacing w:line="240" w:lineRule="auto"/>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Par ailleurs, nous vous précisons que d’une manière générale la Société règle ses fournisseurs à 38,86 jours et que le délai de paiement des clients est de 60 jours.</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tabs>
          <w:tab w:val="left" w:pos="2480"/>
        </w:tabs>
        <w:ind w:left="482"/>
        <w:rPr>
          <w:rFonts w:ascii="Verdana" w:hAnsi="Verdana" w:cs="Arial"/>
          <w:b/>
          <w:color w:val="D51366"/>
          <w:sz w:val="16"/>
          <w:szCs w:val="16"/>
        </w:rPr>
      </w:pPr>
      <w:r w:rsidRPr="00F4779C">
        <w:rPr>
          <w:rFonts w:ascii="Verdana" w:hAnsi="Verdana" w:cs="Arial"/>
          <w:b/>
          <w:color w:val="D51366"/>
          <w:sz w:val="16"/>
          <w:szCs w:val="16"/>
        </w:rPr>
        <w:t xml:space="preserve">2.2 Proposition d’affectation du résultat </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Il est proposé d’affecter le bénéfice de l’exercice d'un montant de 5 536 271,29 € comme suit :</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IECtextecourant"/>
        <w:spacing w:after="0" w:line="240" w:lineRule="auto"/>
        <w:ind w:left="567" w:right="0" w:hanging="567"/>
        <w:outlineLvl w:val="0"/>
        <w:rPr>
          <w:rFonts w:ascii="Verdana" w:hAnsi="Verdana" w:cs="Arial"/>
          <w:color w:val="4C4E53"/>
          <w:sz w:val="16"/>
          <w:szCs w:val="16"/>
          <w:lang w:val="fr-FR"/>
        </w:rPr>
      </w:pPr>
      <w:r w:rsidRPr="00F4779C">
        <w:rPr>
          <w:rFonts w:ascii="Verdana" w:hAnsi="Verdana" w:cs="Arial"/>
          <w:color w:val="4C4E53"/>
          <w:sz w:val="16"/>
          <w:szCs w:val="16"/>
          <w:lang w:val="fr-FR"/>
        </w:rPr>
        <w:t>-</w:t>
      </w:r>
      <w:r w:rsidRPr="00F4779C">
        <w:rPr>
          <w:rFonts w:ascii="Verdana" w:hAnsi="Verdana" w:cs="Arial"/>
          <w:color w:val="4C4E53"/>
          <w:sz w:val="16"/>
          <w:szCs w:val="16"/>
          <w:lang w:val="fr-FR"/>
        </w:rPr>
        <w:tab/>
        <w:t>5 707 € au compte « Réserve légale » à l'effet de porter le montant de celle-ci au minimum requis par la loi (10 % du capital social) ; et</w:t>
      </w:r>
    </w:p>
    <w:p w:rsidR="00850A44" w:rsidRPr="00F4779C" w:rsidRDefault="00850A44" w:rsidP="004942B7">
      <w:pPr>
        <w:pStyle w:val="IECtextecourant"/>
        <w:spacing w:after="0" w:line="240" w:lineRule="auto"/>
        <w:ind w:left="567" w:right="0" w:hanging="567"/>
        <w:outlineLvl w:val="0"/>
        <w:rPr>
          <w:rFonts w:ascii="Verdana" w:hAnsi="Verdana" w:cs="Arial"/>
          <w:color w:val="4C4E53"/>
          <w:sz w:val="16"/>
          <w:szCs w:val="16"/>
          <w:lang w:val="fr-FR"/>
        </w:rPr>
      </w:pPr>
    </w:p>
    <w:p w:rsidR="00850A44" w:rsidRPr="00F4779C" w:rsidRDefault="00850A44" w:rsidP="004942B7">
      <w:pPr>
        <w:pStyle w:val="IECtextecourant"/>
        <w:spacing w:after="0" w:line="240" w:lineRule="auto"/>
        <w:ind w:left="567" w:right="0" w:hanging="567"/>
        <w:outlineLvl w:val="0"/>
        <w:rPr>
          <w:rFonts w:ascii="Verdana" w:hAnsi="Verdana" w:cs="Arial"/>
          <w:color w:val="4C4E53"/>
          <w:sz w:val="16"/>
          <w:szCs w:val="16"/>
          <w:lang w:val="fr-FR"/>
        </w:rPr>
      </w:pPr>
      <w:r w:rsidRPr="00F4779C">
        <w:rPr>
          <w:rFonts w:ascii="Verdana" w:hAnsi="Verdana" w:cs="Arial"/>
          <w:color w:val="4C4E53"/>
          <w:sz w:val="16"/>
          <w:szCs w:val="16"/>
          <w:lang w:val="fr-FR"/>
        </w:rPr>
        <w:t>-</w:t>
      </w:r>
      <w:r w:rsidRPr="00F4779C">
        <w:rPr>
          <w:rFonts w:ascii="Verdana" w:hAnsi="Verdana" w:cs="Arial"/>
          <w:color w:val="4C4E53"/>
          <w:sz w:val="16"/>
          <w:szCs w:val="16"/>
          <w:lang w:val="fr-FR"/>
        </w:rPr>
        <w:tab/>
        <w:t>le solde, soit 5 530 564,29 €, au compte « Report à nouveau ».</w:t>
      </w:r>
    </w:p>
    <w:p w:rsidR="00850A44" w:rsidRPr="00F4779C" w:rsidRDefault="00850A44" w:rsidP="004942B7">
      <w:pPr>
        <w:pStyle w:val="Formatlibre"/>
        <w:jc w:val="both"/>
        <w:rPr>
          <w:rFonts w:ascii="Verdana" w:hAnsi="Verdana" w:cs="Arial"/>
          <w:color w:val="4C4E53"/>
          <w:sz w:val="16"/>
          <w:szCs w:val="16"/>
        </w:rPr>
      </w:pPr>
    </w:p>
    <w:p w:rsidR="00850A44" w:rsidRPr="00F4779C" w:rsidRDefault="00850A44" w:rsidP="004942B7">
      <w:pPr>
        <w:pStyle w:val="Formatlibre"/>
        <w:jc w:val="both"/>
        <w:rPr>
          <w:rFonts w:ascii="Verdana" w:hAnsi="Verdana" w:cs="Arial"/>
          <w:color w:val="4C4E53"/>
          <w:sz w:val="16"/>
          <w:szCs w:val="16"/>
        </w:rPr>
      </w:pPr>
      <w:r w:rsidRPr="00F4779C">
        <w:rPr>
          <w:rFonts w:ascii="Verdana" w:hAnsi="Verdana" w:cs="Arial"/>
          <w:color w:val="4C4E53"/>
          <w:sz w:val="16"/>
          <w:szCs w:val="16"/>
        </w:rPr>
        <w:t xml:space="preserve">Il sera également proposé à l'assemblée générale ordinaire annuelle de voter la distribution d'une somme de 1 035 032,68 €, soit 0,04 € par action, prélevée sur le compte « Primes d'émission ». </w:t>
      </w:r>
    </w:p>
    <w:p w:rsidR="00CA216D" w:rsidRPr="00F4779C" w:rsidRDefault="00CA216D" w:rsidP="004942B7">
      <w:pPr>
        <w:spacing w:line="240" w:lineRule="auto"/>
        <w:rPr>
          <w:rFonts w:ascii="Verdana" w:hAnsi="Verdana" w:cs="Arial"/>
          <w:color w:val="4C4E53"/>
          <w:sz w:val="16"/>
          <w:szCs w:val="16"/>
        </w:rPr>
      </w:pPr>
    </w:p>
    <w:sectPr w:rsidR="00CA216D" w:rsidRPr="00F4779C" w:rsidSect="00E40B39">
      <w:headerReference w:type="default" r:id="rId8"/>
      <w:footerReference w:type="default" r:id="rId9"/>
      <w:pgSz w:w="11906" w:h="16838"/>
      <w:pgMar w:top="2552"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556" w:rsidRDefault="00705556" w:rsidP="00DF5C8D">
      <w:pPr>
        <w:spacing w:line="240" w:lineRule="auto"/>
      </w:pPr>
      <w:r>
        <w:separator/>
      </w:r>
    </w:p>
  </w:endnote>
  <w:endnote w:type="continuationSeparator" w:id="0">
    <w:p w:rsidR="00705556" w:rsidRDefault="00705556" w:rsidP="00DF5C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ITC Avant Garde Std XLt">
    <w:altName w:val="ITC Avant Garde Std XLt"/>
    <w:panose1 w:val="00000000000000000000"/>
    <w:charset w:val="00"/>
    <w:family w:val="swiss"/>
    <w:notTrueType/>
    <w:pitch w:val="default"/>
    <w:sig w:usb0="00000003" w:usb1="00000000" w:usb2="00000000" w:usb3="00000000" w:csb0="00000001" w:csb1="00000000"/>
  </w:font>
  <w:font w:name="ITC Avant Garde Std Bk Cn">
    <w:altName w:val="ITC Avant Garde Std Bk Cn"/>
    <w:panose1 w:val="00000000000000000000"/>
    <w:charset w:val="00"/>
    <w:family w:val="swiss"/>
    <w:notTrueType/>
    <w:pitch w:val="default"/>
    <w:sig w:usb0="00000003" w:usb1="00000000" w:usb2="00000000" w:usb3="00000000" w:csb0="00000001" w:csb1="00000000"/>
  </w:font>
  <w:font w:name="Lucida Grand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Bembo">
    <w:altName w:val="Georgia"/>
    <w:charset w:val="00"/>
    <w:family w:val="roman"/>
    <w:pitch w:val="variable"/>
    <w:sig w:usb0="00000003" w:usb1="00000000" w:usb2="00000000" w:usb3="00000000" w:csb0="00000001" w:csb1="00000000"/>
  </w:font>
  <w:font w:name="Times New Roman Gras">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9C" w:rsidRDefault="00F4779C" w:rsidP="00DF5C8D">
    <w:pPr>
      <w:shd w:val="clear" w:color="auto" w:fill="FFFFFF"/>
      <w:spacing w:line="240" w:lineRule="auto"/>
      <w:rPr>
        <w:rFonts w:ascii="Arial" w:eastAsia="Times New Roman" w:hAnsi="Arial" w:cs="Arial"/>
        <w:color w:val="222222"/>
        <w:sz w:val="16"/>
        <w:szCs w:val="16"/>
        <w:lang w:eastAsia="fr-FR"/>
      </w:rPr>
    </w:pPr>
  </w:p>
  <w:p w:rsidR="00F4779C" w:rsidRDefault="00F4779C" w:rsidP="00DF5C8D">
    <w:pPr>
      <w:shd w:val="clear" w:color="auto" w:fill="FFFFFF"/>
      <w:spacing w:line="240" w:lineRule="auto"/>
      <w:rPr>
        <w:rFonts w:ascii="Arial" w:eastAsia="Times New Roman" w:hAnsi="Arial" w:cs="Arial"/>
        <w:color w:val="222222"/>
        <w:sz w:val="16"/>
        <w:szCs w:val="16"/>
        <w:lang w:eastAsia="fr-FR"/>
      </w:rPr>
    </w:pPr>
  </w:p>
  <w:p w:rsidR="00F4779C" w:rsidRDefault="00F4779C" w:rsidP="00DF5C8D">
    <w:pPr>
      <w:shd w:val="clear" w:color="auto" w:fill="FFFFFF"/>
      <w:spacing w:line="240" w:lineRule="auto"/>
      <w:rPr>
        <w:rFonts w:ascii="Arial" w:eastAsia="Times New Roman" w:hAnsi="Arial" w:cs="Arial"/>
        <w:color w:val="222222"/>
        <w:sz w:val="16"/>
        <w:szCs w:val="16"/>
        <w:lang w:eastAsia="fr-FR"/>
      </w:rPr>
    </w:pPr>
  </w:p>
  <w:p w:rsidR="00F4779C" w:rsidRPr="00E553C3" w:rsidRDefault="00F4779C" w:rsidP="00DF5C8D">
    <w:pPr>
      <w:shd w:val="clear" w:color="auto" w:fill="FFFFFF"/>
      <w:spacing w:line="240" w:lineRule="auto"/>
      <w:rPr>
        <w:rFonts w:ascii="Arial" w:eastAsia="Times New Roman" w:hAnsi="Arial" w:cs="Arial"/>
        <w:b/>
        <w:color w:val="4C4E53"/>
        <w:sz w:val="14"/>
        <w:szCs w:val="14"/>
        <w:lang w:eastAsia="fr-FR"/>
      </w:rPr>
    </w:pPr>
    <w:r w:rsidRPr="00E553C3">
      <w:rPr>
        <w:rFonts w:ascii="Arial" w:eastAsia="Times New Roman" w:hAnsi="Arial" w:cs="Arial"/>
        <w:b/>
        <w:color w:val="4C4E53"/>
        <w:sz w:val="14"/>
        <w:szCs w:val="14"/>
        <w:lang w:eastAsia="fr-FR"/>
      </w:rPr>
      <w:t>VIDELIO - 13/15 rue Louis Kérautret Botmel - CS 76709 - 35067 Rennes Cedex - Tél. : 02 23 35 57 57 - Fax : 02 23 35 56 61</w:t>
    </w:r>
  </w:p>
  <w:p w:rsidR="00F4779C" w:rsidRPr="00E553C3" w:rsidRDefault="00F4779C" w:rsidP="00DF5C8D">
    <w:pPr>
      <w:shd w:val="clear" w:color="auto" w:fill="FFFFFF"/>
      <w:spacing w:line="240" w:lineRule="auto"/>
      <w:rPr>
        <w:rFonts w:ascii="Arial" w:eastAsia="Times New Roman" w:hAnsi="Arial" w:cs="Arial"/>
        <w:b/>
        <w:color w:val="4C4E53"/>
        <w:sz w:val="14"/>
        <w:szCs w:val="14"/>
        <w:lang w:eastAsia="fr-FR"/>
      </w:rPr>
    </w:pPr>
    <w:r w:rsidRPr="00E553C3">
      <w:rPr>
        <w:rFonts w:ascii="Arial" w:eastAsia="Times New Roman" w:hAnsi="Arial" w:cs="Arial"/>
        <w:b/>
        <w:color w:val="4C4E53"/>
        <w:sz w:val="14"/>
        <w:szCs w:val="14"/>
        <w:lang w:eastAsia="fr-FR"/>
      </w:rPr>
      <w:t>SA au capital de 7 762 745,10 euros - RCS Rennes B 382 574 739 - APE 671C - N° TVA FR 53 382 574 739</w:t>
    </w:r>
  </w:p>
  <w:p w:rsidR="00F4779C" w:rsidRPr="00DF5C8D" w:rsidRDefault="00F4779C" w:rsidP="00DF5C8D">
    <w:pPr>
      <w:pStyle w:val="Pieddepage"/>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556" w:rsidRDefault="00705556" w:rsidP="00DF5C8D">
      <w:pPr>
        <w:spacing w:line="240" w:lineRule="auto"/>
      </w:pPr>
      <w:r>
        <w:separator/>
      </w:r>
    </w:p>
  </w:footnote>
  <w:footnote w:type="continuationSeparator" w:id="0">
    <w:p w:rsidR="00705556" w:rsidRDefault="00705556" w:rsidP="00DF5C8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9C" w:rsidRDefault="00F4779C">
    <w:pPr>
      <w:pStyle w:val="En-tte"/>
    </w:pPr>
    <w:r w:rsidRPr="00E553C3">
      <w:rPr>
        <w:noProof/>
        <w:lang w:eastAsia="fr-FR"/>
      </w:rPr>
      <w:drawing>
        <wp:inline distT="0" distB="0" distL="0" distR="0">
          <wp:extent cx="2009775" cy="952368"/>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lio-Baseline-V1-2014-RVB.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26639" cy="96035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F5BF4D"/>
    <w:multiLevelType w:val="hybridMultilevel"/>
    <w:tmpl w:val="CCB1A7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05A4D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19741A60"/>
    <w:multiLevelType w:val="hybridMultilevel"/>
    <w:tmpl w:val="2D2A22CE"/>
    <w:lvl w:ilvl="0" w:tplc="B1E08B0E">
      <w:start w:val="2"/>
      <w:numFmt w:val="lowerRoman"/>
      <w:lvlText w:val="(%1)"/>
      <w:lvlJc w:val="left"/>
      <w:pPr>
        <w:tabs>
          <w:tab w:val="num" w:pos="1260"/>
        </w:tabs>
        <w:ind w:left="1260" w:hanging="72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3">
    <w:nsid w:val="1A1840BA"/>
    <w:multiLevelType w:val="hybridMultilevel"/>
    <w:tmpl w:val="880A50A8"/>
    <w:lvl w:ilvl="0" w:tplc="14E4D40A">
      <w:start w:val="13"/>
      <w:numFmt w:val="bullet"/>
      <w:lvlText w:val="-"/>
      <w:lvlJc w:val="left"/>
      <w:pPr>
        <w:tabs>
          <w:tab w:val="num" w:pos="1211"/>
        </w:tabs>
        <w:ind w:left="1211" w:hanging="360"/>
      </w:pPr>
      <w:rPr>
        <w:rFonts w:ascii="Times" w:eastAsia="Times New Roman" w:hAnsi="Times" w:cs="Times" w:hint="default"/>
      </w:rPr>
    </w:lvl>
    <w:lvl w:ilvl="1" w:tplc="040C000F">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2C9C22A5"/>
    <w:multiLevelType w:val="hybridMultilevel"/>
    <w:tmpl w:val="980C8E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196DBC"/>
    <w:multiLevelType w:val="hybridMultilevel"/>
    <w:tmpl w:val="346A25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0A6E17"/>
    <w:multiLevelType w:val="hybridMultilevel"/>
    <w:tmpl w:val="67D01936"/>
    <w:lvl w:ilvl="0" w:tplc="E558E29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AC2655"/>
    <w:multiLevelType w:val="hybridMultilevel"/>
    <w:tmpl w:val="70B65948"/>
    <w:lvl w:ilvl="0" w:tplc="BBD6822C">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946138"/>
    <w:multiLevelType w:val="hybridMultilevel"/>
    <w:tmpl w:val="F7B6B5B0"/>
    <w:lvl w:ilvl="0" w:tplc="B59CB15E">
      <w:numFmt w:val="bullet"/>
      <w:lvlText w:val="►"/>
      <w:lvlJc w:val="left"/>
      <w:pPr>
        <w:ind w:left="720" w:hanging="360"/>
      </w:pPr>
      <w:rPr>
        <w:rFonts w:ascii="Times New Roman" w:eastAsia="Calibri" w:hAnsi="Times New Roman" w:cs="Times New Roman" w:hint="default"/>
      </w:rPr>
    </w:lvl>
    <w:lvl w:ilvl="1" w:tplc="3AE6FCDC">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CC3D87"/>
    <w:multiLevelType w:val="hybridMultilevel"/>
    <w:tmpl w:val="6120854C"/>
    <w:lvl w:ilvl="0" w:tplc="80744BB6">
      <w:numFmt w:val="bullet"/>
      <w:lvlText w:val="-"/>
      <w:lvlJc w:val="left"/>
      <w:pPr>
        <w:ind w:left="930" w:hanging="57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9C5DED"/>
    <w:multiLevelType w:val="hybridMultilevel"/>
    <w:tmpl w:val="1D8E3A10"/>
    <w:lvl w:ilvl="0" w:tplc="3AE6FCDC">
      <w:numFmt w:val="bullet"/>
      <w:lvlText w:val="-"/>
      <w:lvlJc w:val="left"/>
      <w:pPr>
        <w:ind w:left="1221" w:hanging="360"/>
      </w:pPr>
      <w:rPr>
        <w:rFonts w:ascii="Calibri" w:eastAsia="Calibri" w:hAnsi="Calibri" w:cs="Times New Roman" w:hint="default"/>
      </w:rPr>
    </w:lvl>
    <w:lvl w:ilvl="1" w:tplc="040C0003" w:tentative="1">
      <w:start w:val="1"/>
      <w:numFmt w:val="bullet"/>
      <w:lvlText w:val="o"/>
      <w:lvlJc w:val="left"/>
      <w:pPr>
        <w:ind w:left="1941" w:hanging="360"/>
      </w:pPr>
      <w:rPr>
        <w:rFonts w:ascii="Courier New" w:hAnsi="Courier New" w:cs="Courier New" w:hint="default"/>
      </w:rPr>
    </w:lvl>
    <w:lvl w:ilvl="2" w:tplc="040C0005" w:tentative="1">
      <w:start w:val="1"/>
      <w:numFmt w:val="bullet"/>
      <w:lvlText w:val=""/>
      <w:lvlJc w:val="left"/>
      <w:pPr>
        <w:ind w:left="2661" w:hanging="360"/>
      </w:pPr>
      <w:rPr>
        <w:rFonts w:ascii="Wingdings" w:hAnsi="Wingdings" w:hint="default"/>
      </w:rPr>
    </w:lvl>
    <w:lvl w:ilvl="3" w:tplc="040C0001" w:tentative="1">
      <w:start w:val="1"/>
      <w:numFmt w:val="bullet"/>
      <w:lvlText w:val=""/>
      <w:lvlJc w:val="left"/>
      <w:pPr>
        <w:ind w:left="3381" w:hanging="360"/>
      </w:pPr>
      <w:rPr>
        <w:rFonts w:ascii="Symbol" w:hAnsi="Symbol" w:hint="default"/>
      </w:rPr>
    </w:lvl>
    <w:lvl w:ilvl="4" w:tplc="040C0003" w:tentative="1">
      <w:start w:val="1"/>
      <w:numFmt w:val="bullet"/>
      <w:lvlText w:val="o"/>
      <w:lvlJc w:val="left"/>
      <w:pPr>
        <w:ind w:left="4101" w:hanging="360"/>
      </w:pPr>
      <w:rPr>
        <w:rFonts w:ascii="Courier New" w:hAnsi="Courier New" w:cs="Courier New" w:hint="default"/>
      </w:rPr>
    </w:lvl>
    <w:lvl w:ilvl="5" w:tplc="040C0005" w:tentative="1">
      <w:start w:val="1"/>
      <w:numFmt w:val="bullet"/>
      <w:lvlText w:val=""/>
      <w:lvlJc w:val="left"/>
      <w:pPr>
        <w:ind w:left="4821" w:hanging="360"/>
      </w:pPr>
      <w:rPr>
        <w:rFonts w:ascii="Wingdings" w:hAnsi="Wingdings" w:hint="default"/>
      </w:rPr>
    </w:lvl>
    <w:lvl w:ilvl="6" w:tplc="040C0001" w:tentative="1">
      <w:start w:val="1"/>
      <w:numFmt w:val="bullet"/>
      <w:lvlText w:val=""/>
      <w:lvlJc w:val="left"/>
      <w:pPr>
        <w:ind w:left="5541" w:hanging="360"/>
      </w:pPr>
      <w:rPr>
        <w:rFonts w:ascii="Symbol" w:hAnsi="Symbol" w:hint="default"/>
      </w:rPr>
    </w:lvl>
    <w:lvl w:ilvl="7" w:tplc="040C0003" w:tentative="1">
      <w:start w:val="1"/>
      <w:numFmt w:val="bullet"/>
      <w:lvlText w:val="o"/>
      <w:lvlJc w:val="left"/>
      <w:pPr>
        <w:ind w:left="6261" w:hanging="360"/>
      </w:pPr>
      <w:rPr>
        <w:rFonts w:ascii="Courier New" w:hAnsi="Courier New" w:cs="Courier New" w:hint="default"/>
      </w:rPr>
    </w:lvl>
    <w:lvl w:ilvl="8" w:tplc="040C0005" w:tentative="1">
      <w:start w:val="1"/>
      <w:numFmt w:val="bullet"/>
      <w:lvlText w:val=""/>
      <w:lvlJc w:val="left"/>
      <w:pPr>
        <w:ind w:left="6981" w:hanging="360"/>
      </w:pPr>
      <w:rPr>
        <w:rFonts w:ascii="Wingdings" w:hAnsi="Wingdings" w:hint="default"/>
      </w:rPr>
    </w:lvl>
  </w:abstractNum>
  <w:abstractNum w:abstractNumId="11">
    <w:nsid w:val="51834BF9"/>
    <w:multiLevelType w:val="hybridMultilevel"/>
    <w:tmpl w:val="E1F4EE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2547A86"/>
    <w:multiLevelType w:val="hybridMultilevel"/>
    <w:tmpl w:val="E884B596"/>
    <w:lvl w:ilvl="0" w:tplc="7FBCC3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49D0C98"/>
    <w:multiLevelType w:val="hybridMultilevel"/>
    <w:tmpl w:val="C6265B86"/>
    <w:lvl w:ilvl="0" w:tplc="E558E29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C36759F"/>
    <w:multiLevelType w:val="hybridMultilevel"/>
    <w:tmpl w:val="3A702E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4"/>
  </w:num>
  <w:num w:numId="5">
    <w:abstractNumId w:val="8"/>
  </w:num>
  <w:num w:numId="6">
    <w:abstractNumId w:val="10"/>
  </w:num>
  <w:num w:numId="7">
    <w:abstractNumId w:val="11"/>
  </w:num>
  <w:num w:numId="8">
    <w:abstractNumId w:val="13"/>
  </w:num>
  <w:num w:numId="9">
    <w:abstractNumId w:val="6"/>
  </w:num>
  <w:num w:numId="10">
    <w:abstractNumId w:val="14"/>
  </w:num>
  <w:num w:numId="11">
    <w:abstractNumId w:val="5"/>
  </w:num>
  <w:num w:numId="12">
    <w:abstractNumId w:val="9"/>
  </w:num>
  <w:num w:numId="13">
    <w:abstractNumId w:val="2"/>
  </w:num>
  <w:num w:numId="14">
    <w:abstractNumId w:val="1"/>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defaultTabStop w:val="708"/>
  <w:hyphenationZone w:val="425"/>
  <w:characterSpacingControl w:val="doNotCompress"/>
  <w:footnotePr>
    <w:footnote w:id="-1"/>
    <w:footnote w:id="0"/>
  </w:footnotePr>
  <w:endnotePr>
    <w:endnote w:id="-1"/>
    <w:endnote w:id="0"/>
  </w:endnotePr>
  <w:compat/>
  <w:rsids>
    <w:rsidRoot w:val="005C19C7"/>
    <w:rsid w:val="000179D7"/>
    <w:rsid w:val="000215EA"/>
    <w:rsid w:val="00027C37"/>
    <w:rsid w:val="00041DD9"/>
    <w:rsid w:val="000427A1"/>
    <w:rsid w:val="00057646"/>
    <w:rsid w:val="000A0FB7"/>
    <w:rsid w:val="000A238C"/>
    <w:rsid w:val="000C252E"/>
    <w:rsid w:val="000E3E09"/>
    <w:rsid w:val="000E7240"/>
    <w:rsid w:val="00112C5C"/>
    <w:rsid w:val="00135563"/>
    <w:rsid w:val="001F741D"/>
    <w:rsid w:val="00247E28"/>
    <w:rsid w:val="002504A8"/>
    <w:rsid w:val="002636FB"/>
    <w:rsid w:val="002702D6"/>
    <w:rsid w:val="0029666B"/>
    <w:rsid w:val="002E6059"/>
    <w:rsid w:val="00312BB9"/>
    <w:rsid w:val="00363ECC"/>
    <w:rsid w:val="003749A3"/>
    <w:rsid w:val="00383BB8"/>
    <w:rsid w:val="003A0133"/>
    <w:rsid w:val="003B0BE5"/>
    <w:rsid w:val="003D6351"/>
    <w:rsid w:val="003E0679"/>
    <w:rsid w:val="004172E6"/>
    <w:rsid w:val="0042417C"/>
    <w:rsid w:val="00454792"/>
    <w:rsid w:val="00475C91"/>
    <w:rsid w:val="004942B7"/>
    <w:rsid w:val="004C18AD"/>
    <w:rsid w:val="004F5F28"/>
    <w:rsid w:val="00526BB7"/>
    <w:rsid w:val="005779B2"/>
    <w:rsid w:val="005904BA"/>
    <w:rsid w:val="00595708"/>
    <w:rsid w:val="005A3293"/>
    <w:rsid w:val="005C19C7"/>
    <w:rsid w:val="005F6580"/>
    <w:rsid w:val="005F6674"/>
    <w:rsid w:val="00606095"/>
    <w:rsid w:val="006756AA"/>
    <w:rsid w:val="0068236B"/>
    <w:rsid w:val="006915D5"/>
    <w:rsid w:val="006B40D3"/>
    <w:rsid w:val="006B6A25"/>
    <w:rsid w:val="006E52CC"/>
    <w:rsid w:val="00705556"/>
    <w:rsid w:val="00725999"/>
    <w:rsid w:val="00763145"/>
    <w:rsid w:val="007721B6"/>
    <w:rsid w:val="007F3D83"/>
    <w:rsid w:val="008114D7"/>
    <w:rsid w:val="00850A44"/>
    <w:rsid w:val="00853689"/>
    <w:rsid w:val="008678E5"/>
    <w:rsid w:val="008B57E6"/>
    <w:rsid w:val="008E799C"/>
    <w:rsid w:val="008F3076"/>
    <w:rsid w:val="008F30B3"/>
    <w:rsid w:val="00913495"/>
    <w:rsid w:val="009670EB"/>
    <w:rsid w:val="009B5CB8"/>
    <w:rsid w:val="00A2072F"/>
    <w:rsid w:val="00A23F95"/>
    <w:rsid w:val="00A341CA"/>
    <w:rsid w:val="00A51198"/>
    <w:rsid w:val="00A57827"/>
    <w:rsid w:val="00A77995"/>
    <w:rsid w:val="00AD20F1"/>
    <w:rsid w:val="00AE0DE2"/>
    <w:rsid w:val="00AF3B05"/>
    <w:rsid w:val="00AF3EF9"/>
    <w:rsid w:val="00B03D8E"/>
    <w:rsid w:val="00B21E93"/>
    <w:rsid w:val="00B64BDA"/>
    <w:rsid w:val="00BD14A5"/>
    <w:rsid w:val="00C37A4D"/>
    <w:rsid w:val="00C73B14"/>
    <w:rsid w:val="00C8526A"/>
    <w:rsid w:val="00C9041B"/>
    <w:rsid w:val="00C90463"/>
    <w:rsid w:val="00CA216D"/>
    <w:rsid w:val="00CA40B4"/>
    <w:rsid w:val="00CC2904"/>
    <w:rsid w:val="00CE6D38"/>
    <w:rsid w:val="00CE737E"/>
    <w:rsid w:val="00CF7A89"/>
    <w:rsid w:val="00D00A18"/>
    <w:rsid w:val="00D11C98"/>
    <w:rsid w:val="00D65944"/>
    <w:rsid w:val="00DD2DDD"/>
    <w:rsid w:val="00DF378B"/>
    <w:rsid w:val="00DF5C8D"/>
    <w:rsid w:val="00E100A5"/>
    <w:rsid w:val="00E40B39"/>
    <w:rsid w:val="00E4599B"/>
    <w:rsid w:val="00E553C3"/>
    <w:rsid w:val="00E71FDF"/>
    <w:rsid w:val="00EA247D"/>
    <w:rsid w:val="00EC5B5B"/>
    <w:rsid w:val="00EC6B08"/>
    <w:rsid w:val="00ED1B1C"/>
    <w:rsid w:val="00F121B1"/>
    <w:rsid w:val="00F22DB4"/>
    <w:rsid w:val="00F425CE"/>
    <w:rsid w:val="00F4779C"/>
    <w:rsid w:val="00F64ED0"/>
    <w:rsid w:val="00F6732E"/>
    <w:rsid w:val="00F80B3A"/>
    <w:rsid w:val="00FB77FE"/>
    <w:rsid w:val="00FC3AB5"/>
    <w:rsid w:val="00FD2666"/>
    <w:rsid w:val="00FD2FCF"/>
    <w:rsid w:val="00FE7030"/>
    <w:rsid w:val="00FE75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return"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30"/>
  </w:style>
  <w:style w:type="paragraph" w:styleId="Titre1">
    <w:name w:val="heading 1"/>
    <w:aliases w:val="Titre 1 Acte"/>
    <w:basedOn w:val="Normal"/>
    <w:next w:val="Normal"/>
    <w:link w:val="Titre1Car"/>
    <w:qFormat/>
    <w:rsid w:val="00A2072F"/>
    <w:pPr>
      <w:keepNext/>
      <w:spacing w:after="480" w:line="240" w:lineRule="auto"/>
      <w:outlineLvl w:val="0"/>
    </w:pPr>
    <w:rPr>
      <w:rFonts w:ascii="Times New Roman" w:eastAsia="Times New Roman" w:hAnsi="Times New Roman" w:cs="Times New Roman"/>
      <w:b/>
      <w:sz w:val="28"/>
      <w:szCs w:val="20"/>
      <w:lang w:eastAsia="fr-FR"/>
    </w:rPr>
  </w:style>
  <w:style w:type="paragraph" w:styleId="Titre2">
    <w:name w:val="heading 2"/>
    <w:aliases w:val="Titre 2 Acte"/>
    <w:basedOn w:val="Normal"/>
    <w:next w:val="Normal"/>
    <w:link w:val="Titre2Car"/>
    <w:uiPriority w:val="9"/>
    <w:qFormat/>
    <w:rsid w:val="00850A44"/>
    <w:pPr>
      <w:keepNext/>
      <w:spacing w:before="240" w:line="240" w:lineRule="auto"/>
      <w:jc w:val="both"/>
      <w:outlineLvl w:val="1"/>
    </w:pPr>
    <w:rPr>
      <w:rFonts w:ascii="Times New Roman" w:eastAsia="Times New Roman" w:hAnsi="Times New Roman" w:cs="Times New Roman"/>
      <w:b/>
      <w:sz w:val="24"/>
      <w:szCs w:val="20"/>
      <w:u w:val="single"/>
    </w:rPr>
  </w:style>
  <w:style w:type="paragraph" w:styleId="Titre3">
    <w:name w:val="heading 3"/>
    <w:basedOn w:val="Normal"/>
    <w:next w:val="Normal"/>
    <w:link w:val="Titre3Car"/>
    <w:semiHidden/>
    <w:unhideWhenUsed/>
    <w:qFormat/>
    <w:rsid w:val="00850A44"/>
    <w:pPr>
      <w:keepNext/>
      <w:spacing w:before="240" w:after="60" w:line="240" w:lineRule="auto"/>
      <w:jc w:val="both"/>
      <w:outlineLvl w:val="2"/>
    </w:pPr>
    <w:rPr>
      <w:rFonts w:ascii="Cambria" w:eastAsia="Times New Roman" w:hAnsi="Cambria"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0">
    <w:name w:val="Pa0"/>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1">
    <w:name w:val="A1"/>
    <w:uiPriority w:val="99"/>
    <w:rsid w:val="008114D7"/>
    <w:rPr>
      <w:rFonts w:cs="ITC Avant Garde Std XLt"/>
      <w:color w:val="000000"/>
      <w:sz w:val="60"/>
      <w:szCs w:val="60"/>
    </w:rPr>
  </w:style>
  <w:style w:type="paragraph" w:customStyle="1" w:styleId="Pa1">
    <w:name w:val="Pa1"/>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2">
    <w:name w:val="A2"/>
    <w:uiPriority w:val="99"/>
    <w:rsid w:val="008114D7"/>
    <w:rPr>
      <w:rFonts w:cs="ITC Avant Garde Std XLt"/>
      <w:color w:val="000000"/>
      <w:sz w:val="20"/>
      <w:szCs w:val="20"/>
    </w:rPr>
  </w:style>
  <w:style w:type="paragraph" w:customStyle="1" w:styleId="Default">
    <w:name w:val="Default"/>
    <w:rsid w:val="00F80B3A"/>
    <w:pPr>
      <w:autoSpaceDE w:val="0"/>
      <w:autoSpaceDN w:val="0"/>
      <w:adjustRightInd w:val="0"/>
      <w:spacing w:line="240" w:lineRule="auto"/>
      <w:jc w:val="left"/>
    </w:pPr>
    <w:rPr>
      <w:rFonts w:ascii="ITC Avant Garde Std Bk Cn" w:hAnsi="ITC Avant Garde Std Bk Cn" w:cs="ITC Avant Garde Std Bk Cn"/>
      <w:color w:val="000000"/>
      <w:sz w:val="24"/>
      <w:szCs w:val="24"/>
    </w:rPr>
  </w:style>
  <w:style w:type="character" w:customStyle="1" w:styleId="A3">
    <w:name w:val="A3"/>
    <w:uiPriority w:val="99"/>
    <w:rsid w:val="00F80B3A"/>
    <w:rPr>
      <w:rFonts w:cs="ITC Avant Garde Std Bk Cn"/>
      <w:color w:val="000000"/>
      <w:sz w:val="18"/>
      <w:szCs w:val="18"/>
    </w:rPr>
  </w:style>
  <w:style w:type="paragraph" w:styleId="Textedebulles">
    <w:name w:val="Balloon Text"/>
    <w:basedOn w:val="Normal"/>
    <w:link w:val="TextedebullesCar"/>
    <w:unhideWhenUsed/>
    <w:rsid w:val="004172E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rsid w:val="004172E6"/>
    <w:rPr>
      <w:rFonts w:ascii="Lucida Grande" w:hAnsi="Lucida Grande" w:cs="Lucida Grande"/>
      <w:sz w:val="18"/>
      <w:szCs w:val="18"/>
    </w:rPr>
  </w:style>
  <w:style w:type="paragraph" w:styleId="En-tte">
    <w:name w:val="header"/>
    <w:basedOn w:val="Normal"/>
    <w:link w:val="En-tteCar"/>
    <w:unhideWhenUsed/>
    <w:rsid w:val="00DF5C8D"/>
    <w:pPr>
      <w:tabs>
        <w:tab w:val="center" w:pos="4536"/>
        <w:tab w:val="right" w:pos="9072"/>
      </w:tabs>
      <w:spacing w:line="240" w:lineRule="auto"/>
    </w:pPr>
  </w:style>
  <w:style w:type="character" w:customStyle="1" w:styleId="En-tteCar">
    <w:name w:val="En-tête Car"/>
    <w:basedOn w:val="Policepardfaut"/>
    <w:link w:val="En-tte"/>
    <w:rsid w:val="00DF5C8D"/>
  </w:style>
  <w:style w:type="paragraph" w:styleId="Pieddepage">
    <w:name w:val="footer"/>
    <w:basedOn w:val="Normal"/>
    <w:link w:val="PieddepageCar"/>
    <w:uiPriority w:val="99"/>
    <w:unhideWhenUsed/>
    <w:rsid w:val="00DF5C8D"/>
    <w:pPr>
      <w:tabs>
        <w:tab w:val="center" w:pos="4536"/>
        <w:tab w:val="right" w:pos="9072"/>
      </w:tabs>
      <w:spacing w:line="240" w:lineRule="auto"/>
    </w:pPr>
  </w:style>
  <w:style w:type="character" w:customStyle="1" w:styleId="PieddepageCar">
    <w:name w:val="Pied de page Car"/>
    <w:basedOn w:val="Policepardfaut"/>
    <w:link w:val="Pieddepage"/>
    <w:uiPriority w:val="99"/>
    <w:rsid w:val="00DF5C8D"/>
  </w:style>
  <w:style w:type="character" w:customStyle="1" w:styleId="apple-converted-space">
    <w:name w:val="apple-converted-space"/>
    <w:basedOn w:val="Policepardfaut"/>
    <w:rsid w:val="00057646"/>
  </w:style>
  <w:style w:type="paragraph" w:styleId="Paragraphedeliste">
    <w:name w:val="List Paragraph"/>
    <w:basedOn w:val="Normal"/>
    <w:uiPriority w:val="34"/>
    <w:qFormat/>
    <w:rsid w:val="00CA40B4"/>
    <w:pPr>
      <w:ind w:left="720"/>
      <w:contextualSpacing/>
    </w:pPr>
  </w:style>
  <w:style w:type="character" w:customStyle="1" w:styleId="Titre1Car">
    <w:name w:val="Titre 1 Car"/>
    <w:aliases w:val="Titre 1 Acte Car"/>
    <w:basedOn w:val="Policepardfaut"/>
    <w:link w:val="Titre1"/>
    <w:rsid w:val="00A2072F"/>
    <w:rPr>
      <w:rFonts w:ascii="Times New Roman" w:eastAsia="Times New Roman" w:hAnsi="Times New Roman" w:cs="Times New Roman"/>
      <w:b/>
      <w:sz w:val="28"/>
      <w:szCs w:val="20"/>
      <w:lang w:eastAsia="fr-FR"/>
    </w:rPr>
  </w:style>
  <w:style w:type="paragraph" w:styleId="Corpsdetexte">
    <w:name w:val="Body Text"/>
    <w:aliases w:val="Corps de texte Car Car Car Car Car Car Car Car Car Car Car Car Car Car Car Car Car Car Car Car Car Car Car Car Car Car Car Car Car Car Car Car Car Car Car Car Car Car,bt"/>
    <w:basedOn w:val="Normal"/>
    <w:link w:val="CorpsdetexteCar"/>
    <w:rsid w:val="00A2072F"/>
    <w:pPr>
      <w:overflowPunct w:val="0"/>
      <w:autoSpaceDE w:val="0"/>
      <w:autoSpaceDN w:val="0"/>
      <w:adjustRightInd w:val="0"/>
      <w:spacing w:line="240" w:lineRule="exact"/>
      <w:jc w:val="both"/>
      <w:textAlignment w:val="baseline"/>
    </w:pPr>
    <w:rPr>
      <w:rFonts w:ascii="Times New Roman" w:eastAsia="Times New Roman" w:hAnsi="Times New Roman" w:cs="Times New Roman"/>
      <w:bCs/>
      <w:lang w:eastAsia="fr-FR"/>
    </w:rPr>
  </w:style>
  <w:style w:type="character" w:customStyle="1" w:styleId="CorpsdetexteCar">
    <w:name w:val="Corps de texte Car"/>
    <w:aliases w:val="Corps de texte Car Car Car Car Car Car Car Car Car Car Car Car Car Car Car Car Car Car Car Car Car Car Car Car Car Car Car Car Car Car Car Car Car Car Car Car Car Car Car,bt Car"/>
    <w:basedOn w:val="Policepardfaut"/>
    <w:link w:val="Corpsdetexte"/>
    <w:rsid w:val="00A2072F"/>
    <w:rPr>
      <w:rFonts w:ascii="Times New Roman" w:eastAsia="Times New Roman" w:hAnsi="Times New Roman" w:cs="Times New Roman"/>
      <w:bCs/>
      <w:lang w:eastAsia="fr-FR"/>
    </w:rPr>
  </w:style>
  <w:style w:type="paragraph" w:styleId="Titre">
    <w:name w:val="Title"/>
    <w:basedOn w:val="Normal"/>
    <w:link w:val="TitreCar"/>
    <w:qFormat/>
    <w:rsid w:val="00A2072F"/>
    <w:pPr>
      <w:spacing w:line="240" w:lineRule="auto"/>
    </w:pPr>
    <w:rPr>
      <w:rFonts w:ascii="Times New Roman" w:eastAsia="Times New Roman" w:hAnsi="Times New Roman" w:cs="Times New Roman"/>
      <w:b/>
      <w:smallCaps/>
      <w:szCs w:val="24"/>
      <w:lang w:eastAsia="fr-FR"/>
    </w:rPr>
  </w:style>
  <w:style w:type="character" w:customStyle="1" w:styleId="TitreCar">
    <w:name w:val="Titre Car"/>
    <w:basedOn w:val="Policepardfaut"/>
    <w:link w:val="Titre"/>
    <w:rsid w:val="00A2072F"/>
    <w:rPr>
      <w:rFonts w:ascii="Times New Roman" w:eastAsia="Times New Roman" w:hAnsi="Times New Roman" w:cs="Times New Roman"/>
      <w:b/>
      <w:smallCaps/>
      <w:szCs w:val="24"/>
      <w:lang w:eastAsia="fr-FR"/>
    </w:rPr>
  </w:style>
  <w:style w:type="paragraph" w:styleId="NormalWeb">
    <w:name w:val="Normal (Web)"/>
    <w:basedOn w:val="Normal"/>
    <w:uiPriority w:val="99"/>
    <w:rsid w:val="00A2072F"/>
    <w:pPr>
      <w:spacing w:before="100" w:beforeAutospacing="1" w:after="100" w:afterAutospacing="1" w:line="240" w:lineRule="auto"/>
      <w:jc w:val="left"/>
    </w:pPr>
    <w:rPr>
      <w:rFonts w:ascii="Arial Unicode MS" w:eastAsia="Arial Unicode MS" w:hAnsi="Arial Unicode MS" w:cs="Arial Unicode MS"/>
      <w:sz w:val="24"/>
      <w:szCs w:val="24"/>
      <w:lang w:eastAsia="fr-FR"/>
    </w:rPr>
  </w:style>
  <w:style w:type="character" w:styleId="Lienhypertexte">
    <w:name w:val="Hyperlink"/>
    <w:basedOn w:val="Policepardfaut"/>
    <w:unhideWhenUsed/>
    <w:rsid w:val="00A2072F"/>
    <w:rPr>
      <w:color w:val="0000FF"/>
      <w:u w:val="single"/>
    </w:rPr>
  </w:style>
  <w:style w:type="character" w:customStyle="1" w:styleId="Titre2Car">
    <w:name w:val="Titre 2 Car"/>
    <w:aliases w:val="Titre 2 Acte Car"/>
    <w:basedOn w:val="Policepardfaut"/>
    <w:link w:val="Titre2"/>
    <w:uiPriority w:val="9"/>
    <w:rsid w:val="00850A44"/>
    <w:rPr>
      <w:rFonts w:ascii="Times New Roman" w:eastAsia="Times New Roman" w:hAnsi="Times New Roman" w:cs="Times New Roman"/>
      <w:b/>
      <w:sz w:val="24"/>
      <w:szCs w:val="20"/>
      <w:u w:val="single"/>
    </w:rPr>
  </w:style>
  <w:style w:type="character" w:customStyle="1" w:styleId="Titre3Car">
    <w:name w:val="Titre 3 Car"/>
    <w:basedOn w:val="Policepardfaut"/>
    <w:link w:val="Titre3"/>
    <w:semiHidden/>
    <w:rsid w:val="00850A44"/>
    <w:rPr>
      <w:rFonts w:ascii="Cambria" w:eastAsia="Times New Roman" w:hAnsi="Cambria" w:cs="Times New Roman"/>
      <w:b/>
      <w:bCs/>
      <w:sz w:val="26"/>
      <w:szCs w:val="26"/>
      <w:lang w:eastAsia="fr-FR"/>
    </w:rPr>
  </w:style>
  <w:style w:type="paragraph" w:customStyle="1" w:styleId="En-tteetbasdepage">
    <w:name w:val="En-tête et bas de page"/>
    <w:rsid w:val="00850A44"/>
    <w:pPr>
      <w:tabs>
        <w:tab w:val="right" w:pos="9632"/>
      </w:tabs>
      <w:spacing w:line="240" w:lineRule="auto"/>
      <w:jc w:val="left"/>
    </w:pPr>
    <w:rPr>
      <w:rFonts w:ascii="Helvetica" w:eastAsia="ヒラギノ角ゴ Pro W3" w:hAnsi="Helvetica" w:cs="Times New Roman"/>
      <w:color w:val="000000"/>
      <w:sz w:val="20"/>
      <w:szCs w:val="20"/>
      <w:lang w:eastAsia="fr-FR"/>
    </w:rPr>
  </w:style>
  <w:style w:type="paragraph" w:customStyle="1" w:styleId="Formatlibre">
    <w:name w:val="Format libre"/>
    <w:rsid w:val="00850A44"/>
    <w:pPr>
      <w:spacing w:line="240" w:lineRule="auto"/>
      <w:jc w:val="left"/>
    </w:pPr>
    <w:rPr>
      <w:rFonts w:ascii="Helvetica" w:eastAsia="ヒラギノ角ゴ Pro W3" w:hAnsi="Helvetica" w:cs="Times New Roman"/>
      <w:color w:val="000000"/>
      <w:sz w:val="24"/>
      <w:szCs w:val="20"/>
      <w:lang w:eastAsia="fr-FR"/>
    </w:rPr>
  </w:style>
  <w:style w:type="paragraph" w:customStyle="1" w:styleId="Corps">
    <w:name w:val="Corps"/>
    <w:rsid w:val="00850A44"/>
    <w:pPr>
      <w:spacing w:line="240" w:lineRule="auto"/>
      <w:jc w:val="left"/>
    </w:pPr>
    <w:rPr>
      <w:rFonts w:ascii="Helvetica" w:eastAsia="ヒラギノ角ゴ Pro W3" w:hAnsi="Helvetica" w:cs="Times New Roman"/>
      <w:color w:val="000000"/>
      <w:sz w:val="24"/>
      <w:szCs w:val="20"/>
      <w:lang w:eastAsia="fr-FR"/>
    </w:rPr>
  </w:style>
  <w:style w:type="paragraph" w:customStyle="1" w:styleId="AJnormal">
    <w:name w:val="AJnormal"/>
    <w:rsid w:val="00850A44"/>
    <w:pPr>
      <w:widowControl w:val="0"/>
      <w:autoSpaceDE w:val="0"/>
      <w:autoSpaceDN w:val="0"/>
      <w:adjustRightInd w:val="0"/>
      <w:spacing w:before="120" w:line="240" w:lineRule="auto"/>
      <w:jc w:val="both"/>
    </w:pPr>
    <w:rPr>
      <w:rFonts w:ascii="Times New Roman" w:eastAsia="Times New Roman" w:hAnsi="Times New Roman" w:cs="Times New Roman"/>
      <w:lang w:eastAsia="fr-FR"/>
    </w:rPr>
  </w:style>
  <w:style w:type="table" w:styleId="Grilledutableau">
    <w:name w:val="Table Grid"/>
    <w:basedOn w:val="TableauNormal"/>
    <w:rsid w:val="00850A44"/>
    <w:pPr>
      <w:spacing w:line="240" w:lineRule="auto"/>
      <w:jc w:val="left"/>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ECtextecourant">
    <w:name w:val="IEC texte courant"/>
    <w:qFormat/>
    <w:rsid w:val="00850A44"/>
    <w:pPr>
      <w:spacing w:after="200" w:line="220" w:lineRule="exact"/>
      <w:ind w:left="680" w:right="454"/>
      <w:jc w:val="both"/>
    </w:pPr>
    <w:rPr>
      <w:rFonts w:ascii="Arial" w:eastAsia="Times New Roman" w:hAnsi="Arial" w:cs="Times New Roman"/>
      <w:iCs/>
      <w:color w:val="262626"/>
      <w:sz w:val="18"/>
      <w:szCs w:val="24"/>
      <w:lang w:val="en-US"/>
    </w:rPr>
  </w:style>
  <w:style w:type="paragraph" w:customStyle="1" w:styleId="IECTITRE2Niv3">
    <w:name w:val="IEC TITRE2 Niv3"/>
    <w:autoRedefine/>
    <w:uiPriority w:val="99"/>
    <w:qFormat/>
    <w:rsid w:val="00850A44"/>
    <w:pPr>
      <w:keepNext/>
      <w:spacing w:line="240" w:lineRule="auto"/>
      <w:ind w:left="1418"/>
      <w:jc w:val="left"/>
      <w:outlineLvl w:val="3"/>
    </w:pPr>
    <w:rPr>
      <w:rFonts w:ascii="Calibri" w:eastAsia="Times New Roman" w:hAnsi="Calibri" w:cs="Arial"/>
      <w:b/>
      <w:color w:val="17365D"/>
      <w:szCs w:val="24"/>
    </w:rPr>
  </w:style>
  <w:style w:type="paragraph" w:styleId="Retraitcorpsdetexte2">
    <w:name w:val="Body Text Indent 2"/>
    <w:basedOn w:val="Normal"/>
    <w:link w:val="Retraitcorpsdetexte2Car"/>
    <w:rsid w:val="00850A44"/>
    <w:pPr>
      <w:overflowPunct w:val="0"/>
      <w:autoSpaceDE w:val="0"/>
      <w:autoSpaceDN w:val="0"/>
      <w:adjustRightInd w:val="0"/>
      <w:spacing w:line="240" w:lineRule="auto"/>
      <w:ind w:left="540" w:hanging="540"/>
      <w:jc w:val="both"/>
      <w:textAlignment w:val="baseline"/>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rsid w:val="00850A44"/>
    <w:rPr>
      <w:rFonts w:ascii="Times New Roman" w:eastAsia="Times New Roman" w:hAnsi="Times New Roman" w:cs="Times New Roman"/>
      <w:sz w:val="24"/>
      <w:szCs w:val="24"/>
    </w:rPr>
  </w:style>
  <w:style w:type="paragraph" w:customStyle="1" w:styleId="Texte">
    <w:name w:val="Texte"/>
    <w:rsid w:val="00850A44"/>
    <w:pPr>
      <w:spacing w:line="240" w:lineRule="auto"/>
      <w:jc w:val="both"/>
    </w:pPr>
    <w:rPr>
      <w:rFonts w:ascii="Times New Roman" w:eastAsia="Times New Roman" w:hAnsi="Times New Roman" w:cs="Times New Roman"/>
      <w:snapToGrid w:val="0"/>
      <w:color w:val="000000"/>
      <w:sz w:val="24"/>
      <w:szCs w:val="20"/>
    </w:rPr>
  </w:style>
  <w:style w:type="paragraph" w:styleId="Corpsdetexte3">
    <w:name w:val="Body Text 3"/>
    <w:basedOn w:val="Normal"/>
    <w:link w:val="Corpsdetexte3Car"/>
    <w:rsid w:val="00850A44"/>
    <w:pPr>
      <w:spacing w:after="120" w:line="240" w:lineRule="auto"/>
      <w:jc w:val="both"/>
    </w:pPr>
    <w:rPr>
      <w:rFonts w:ascii="Times New Roman" w:eastAsia="Times New Roman" w:hAnsi="Times New Roman" w:cs="Times New Roman"/>
      <w:sz w:val="16"/>
      <w:szCs w:val="16"/>
      <w:lang w:val="en-US"/>
    </w:rPr>
  </w:style>
  <w:style w:type="character" w:customStyle="1" w:styleId="Corpsdetexte3Car">
    <w:name w:val="Corps de texte 3 Car"/>
    <w:basedOn w:val="Policepardfaut"/>
    <w:link w:val="Corpsdetexte3"/>
    <w:rsid w:val="00850A44"/>
    <w:rPr>
      <w:rFonts w:ascii="Times New Roman" w:eastAsia="Times New Roman" w:hAnsi="Times New Roman" w:cs="Times New Roman"/>
      <w:sz w:val="16"/>
      <w:szCs w:val="16"/>
      <w:lang w:val="en-US"/>
    </w:rPr>
  </w:style>
  <w:style w:type="paragraph" w:customStyle="1" w:styleId="normal0">
    <w:name w:val="normal"/>
    <w:rsid w:val="00850A44"/>
    <w:pPr>
      <w:spacing w:line="240" w:lineRule="auto"/>
      <w:jc w:val="left"/>
    </w:pPr>
    <w:rPr>
      <w:rFonts w:ascii="Times New Roman" w:eastAsia="Times New Roman" w:hAnsi="Times New Roman" w:cs="Times New Roman"/>
      <w:lang w:eastAsia="fr-FR"/>
    </w:rPr>
  </w:style>
  <w:style w:type="paragraph" w:styleId="Retraitcorpsdetexte3">
    <w:name w:val="Body Text Indent 3"/>
    <w:basedOn w:val="Normal"/>
    <w:link w:val="Retraitcorpsdetexte3Car"/>
    <w:rsid w:val="00850A44"/>
    <w:pPr>
      <w:spacing w:after="120" w:line="240" w:lineRule="auto"/>
      <w:ind w:left="283"/>
      <w:jc w:val="both"/>
    </w:pPr>
    <w:rPr>
      <w:rFonts w:ascii="Times New Roman" w:eastAsia="Times New Roman" w:hAnsi="Times New Roman" w:cs="Times New Roman"/>
      <w:sz w:val="16"/>
      <w:szCs w:val="16"/>
      <w:lang w:val="en-US"/>
    </w:rPr>
  </w:style>
  <w:style w:type="character" w:customStyle="1" w:styleId="Retraitcorpsdetexte3Car">
    <w:name w:val="Retrait corps de texte 3 Car"/>
    <w:basedOn w:val="Policepardfaut"/>
    <w:link w:val="Retraitcorpsdetexte3"/>
    <w:rsid w:val="00850A44"/>
    <w:rPr>
      <w:rFonts w:ascii="Times New Roman" w:eastAsia="Times New Roman" w:hAnsi="Times New Roman" w:cs="Times New Roman"/>
      <w:sz w:val="16"/>
      <w:szCs w:val="16"/>
      <w:lang w:val="en-US"/>
    </w:rPr>
  </w:style>
  <w:style w:type="paragraph" w:styleId="Adresseexpditeur">
    <w:name w:val="envelope return"/>
    <w:basedOn w:val="Normal"/>
    <w:rsid w:val="00850A44"/>
    <w:pPr>
      <w:widowControl w:val="0"/>
      <w:spacing w:line="240" w:lineRule="auto"/>
      <w:jc w:val="both"/>
    </w:pPr>
    <w:rPr>
      <w:rFonts w:ascii="Times New Roman" w:eastAsia="ヒラギノ角ゴ Pro W3" w:hAnsi="Times New Roman" w:cs="Times New Roman"/>
      <w:szCs w:val="20"/>
      <w:lang w:eastAsia="fr-FR"/>
    </w:rPr>
  </w:style>
  <w:style w:type="character" w:styleId="lev">
    <w:name w:val="Strong"/>
    <w:uiPriority w:val="22"/>
    <w:qFormat/>
    <w:rsid w:val="00850A44"/>
    <w:rPr>
      <w:b/>
      <w:bCs/>
    </w:rPr>
  </w:style>
  <w:style w:type="character" w:customStyle="1" w:styleId="savoirplus">
    <w:name w:val="savoirplus"/>
    <w:basedOn w:val="Policepardfaut"/>
    <w:rsid w:val="00850A44"/>
  </w:style>
  <w:style w:type="paragraph" w:styleId="Retraitcorpsdetexte">
    <w:name w:val="Body Text Indent"/>
    <w:basedOn w:val="Normal"/>
    <w:link w:val="RetraitcorpsdetexteCar"/>
    <w:rsid w:val="00850A44"/>
    <w:pPr>
      <w:spacing w:after="120" w:line="240" w:lineRule="auto"/>
      <w:ind w:left="283"/>
      <w:jc w:val="both"/>
    </w:pPr>
    <w:rPr>
      <w:rFonts w:ascii="Times New Roman" w:eastAsia="ヒラギノ角ゴ Pro W3" w:hAnsi="Times New Roman" w:cs="Times New Roman"/>
    </w:rPr>
  </w:style>
  <w:style w:type="character" w:customStyle="1" w:styleId="RetraitcorpsdetexteCar">
    <w:name w:val="Retrait corps de texte Car"/>
    <w:basedOn w:val="Policepardfaut"/>
    <w:link w:val="Retraitcorpsdetexte"/>
    <w:rsid w:val="00850A44"/>
    <w:rPr>
      <w:rFonts w:ascii="Times New Roman" w:eastAsia="ヒラギノ角ゴ Pro W3" w:hAnsi="Times New Roman" w:cs="Times New Roman"/>
    </w:rPr>
  </w:style>
  <w:style w:type="character" w:styleId="Marquedecommentaire">
    <w:name w:val="annotation reference"/>
    <w:rsid w:val="00850A44"/>
    <w:rPr>
      <w:sz w:val="16"/>
      <w:szCs w:val="16"/>
    </w:rPr>
  </w:style>
  <w:style w:type="paragraph" w:styleId="Commentaire">
    <w:name w:val="annotation text"/>
    <w:basedOn w:val="Normal"/>
    <w:link w:val="CommentaireCar"/>
    <w:rsid w:val="00850A44"/>
    <w:pPr>
      <w:spacing w:line="240" w:lineRule="auto"/>
      <w:jc w:val="both"/>
    </w:pPr>
    <w:rPr>
      <w:rFonts w:ascii="Times New Roman" w:eastAsia="ヒラギノ角ゴ Pro W3" w:hAnsi="Times New Roman" w:cs="Times New Roman"/>
      <w:sz w:val="20"/>
      <w:szCs w:val="20"/>
    </w:rPr>
  </w:style>
  <w:style w:type="character" w:customStyle="1" w:styleId="CommentaireCar">
    <w:name w:val="Commentaire Car"/>
    <w:basedOn w:val="Policepardfaut"/>
    <w:link w:val="Commentaire"/>
    <w:rsid w:val="00850A44"/>
    <w:rPr>
      <w:rFonts w:ascii="Times New Roman" w:eastAsia="ヒラギノ角ゴ Pro W3" w:hAnsi="Times New Roman" w:cs="Times New Roman"/>
      <w:sz w:val="20"/>
      <w:szCs w:val="20"/>
    </w:rPr>
  </w:style>
  <w:style w:type="paragraph" w:styleId="Objetducommentaire">
    <w:name w:val="annotation subject"/>
    <w:basedOn w:val="Commentaire"/>
    <w:next w:val="Commentaire"/>
    <w:link w:val="ObjetducommentaireCar"/>
    <w:rsid w:val="00850A44"/>
    <w:rPr>
      <w:b/>
      <w:bCs/>
    </w:rPr>
  </w:style>
  <w:style w:type="character" w:customStyle="1" w:styleId="ObjetducommentaireCar">
    <w:name w:val="Objet du commentaire Car"/>
    <w:basedOn w:val="CommentaireCar"/>
    <w:link w:val="Objetducommentaire"/>
    <w:rsid w:val="00850A44"/>
    <w:rPr>
      <w:b/>
      <w:bCs/>
    </w:rPr>
  </w:style>
  <w:style w:type="paragraph" w:styleId="Normalcentr">
    <w:name w:val="Block Text"/>
    <w:basedOn w:val="Normal"/>
    <w:rsid w:val="00850A44"/>
    <w:pPr>
      <w:spacing w:line="240" w:lineRule="auto"/>
      <w:ind w:left="57" w:right="57"/>
      <w:jc w:val="both"/>
    </w:pPr>
    <w:rPr>
      <w:rFonts w:ascii="Arial Narrow" w:eastAsia="Times New Roman" w:hAnsi="Arial Narrow" w:cs="Times New Roman"/>
      <w:sz w:val="16"/>
      <w:szCs w:val="24"/>
      <w:lang w:eastAsia="fr-FR"/>
    </w:rPr>
  </w:style>
  <w:style w:type="paragraph" w:customStyle="1" w:styleId="paragraphestandard">
    <w:name w:val="paragraphe standard"/>
    <w:rsid w:val="00850A44"/>
    <w:pPr>
      <w:spacing w:line="200" w:lineRule="exact"/>
      <w:ind w:left="851" w:right="567"/>
      <w:jc w:val="both"/>
    </w:pPr>
    <w:rPr>
      <w:rFonts w:ascii="Times" w:eastAsia="Times New Roman" w:hAnsi="Times" w:cs="Times New Roman"/>
      <w:sz w:val="20"/>
      <w:szCs w:val="20"/>
      <w:lang w:eastAsia="fr-FR"/>
    </w:rPr>
  </w:style>
  <w:style w:type="paragraph" w:customStyle="1" w:styleId="Niveau3a">
    <w:name w:val="Niveau 3 = (a)"/>
    <w:basedOn w:val="Normal"/>
    <w:next w:val="Normal"/>
    <w:rsid w:val="00850A44"/>
    <w:pPr>
      <w:spacing w:after="240" w:line="240" w:lineRule="auto"/>
      <w:ind w:left="709" w:hanging="709"/>
      <w:jc w:val="both"/>
    </w:pPr>
    <w:rPr>
      <w:rFonts w:ascii="Bembo" w:eastAsia="Times New Roman" w:hAnsi="Bembo" w:cs="Times New Roman"/>
      <w:sz w:val="24"/>
      <w:szCs w:val="20"/>
      <w:lang w:eastAsia="fr-FR"/>
    </w:rPr>
  </w:style>
  <w:style w:type="paragraph" w:styleId="Corpsdetexte2">
    <w:name w:val="Body Text 2"/>
    <w:basedOn w:val="Normal"/>
    <w:link w:val="Corpsdetexte2Car"/>
    <w:rsid w:val="00850A44"/>
    <w:pPr>
      <w:spacing w:after="120" w:line="480" w:lineRule="auto"/>
      <w:jc w:val="both"/>
    </w:pPr>
    <w:rPr>
      <w:rFonts w:ascii="Times New Roman" w:eastAsia="ヒラギノ角ゴ Pro W3" w:hAnsi="Times New Roman" w:cs="Times New Roman"/>
    </w:rPr>
  </w:style>
  <w:style w:type="character" w:customStyle="1" w:styleId="Corpsdetexte2Car">
    <w:name w:val="Corps de texte 2 Car"/>
    <w:basedOn w:val="Policepardfaut"/>
    <w:link w:val="Corpsdetexte2"/>
    <w:rsid w:val="00850A44"/>
    <w:rPr>
      <w:rFonts w:ascii="Times New Roman" w:eastAsia="ヒラギノ角ゴ Pro W3" w:hAnsi="Times New Roman" w:cs="Times New Roman"/>
    </w:rPr>
  </w:style>
  <w:style w:type="paragraph" w:customStyle="1" w:styleId="StyleSOUSTITRETimesNewRoman">
    <w:name w:val="Style SOUS TITRE + Times New Roman"/>
    <w:basedOn w:val="Normal"/>
    <w:autoRedefine/>
    <w:rsid w:val="00850A44"/>
    <w:pPr>
      <w:spacing w:line="240" w:lineRule="auto"/>
      <w:ind w:right="68"/>
      <w:jc w:val="both"/>
    </w:pPr>
    <w:rPr>
      <w:rFonts w:ascii="Times New Roman Gras" w:eastAsia="Times New Roman" w:hAnsi="Times New Roman Gras" w:cs="Times New Roman"/>
      <w:b/>
      <w:iCs/>
      <w:smallCaps/>
      <w:sz w:val="24"/>
      <w:szCs w:val="24"/>
      <w:lang w:eastAsia="fr-FR"/>
    </w:rPr>
  </w:style>
  <w:style w:type="paragraph" w:customStyle="1" w:styleId="PARAGRAPHESTANDARD0">
    <w:name w:val="PARAGRAPHE STANDARD"/>
    <w:link w:val="PARAGRAPHESTANDARDCar"/>
    <w:rsid w:val="00850A44"/>
    <w:pPr>
      <w:spacing w:line="200" w:lineRule="exact"/>
      <w:ind w:left="851" w:right="567"/>
      <w:jc w:val="both"/>
    </w:pPr>
    <w:rPr>
      <w:rFonts w:ascii="Times" w:eastAsia="Times New Roman" w:hAnsi="Times" w:cs="Times New Roman"/>
      <w:sz w:val="20"/>
      <w:szCs w:val="20"/>
      <w:lang w:eastAsia="fr-FR"/>
    </w:rPr>
  </w:style>
  <w:style w:type="paragraph" w:customStyle="1" w:styleId="DDR2011-NORMAL">
    <w:name w:val="DDR 2011 - NORMAL"/>
    <w:basedOn w:val="Normal"/>
    <w:link w:val="DDR2011-NORMALCar"/>
    <w:qFormat/>
    <w:rsid w:val="00850A44"/>
    <w:pPr>
      <w:spacing w:line="240" w:lineRule="auto"/>
      <w:jc w:val="both"/>
    </w:pPr>
    <w:rPr>
      <w:rFonts w:ascii="Arial" w:eastAsia="Times New Roman" w:hAnsi="Arial" w:cs="Times New Roman"/>
      <w:sz w:val="20"/>
      <w:szCs w:val="20"/>
    </w:rPr>
  </w:style>
  <w:style w:type="character" w:customStyle="1" w:styleId="DDR2011-NORMALCar">
    <w:name w:val="DDR 2011 - NORMAL Car"/>
    <w:link w:val="DDR2011-NORMAL"/>
    <w:rsid w:val="00850A44"/>
    <w:rPr>
      <w:rFonts w:ascii="Arial" w:eastAsia="Times New Roman" w:hAnsi="Arial" w:cs="Times New Roman"/>
      <w:sz w:val="20"/>
      <w:szCs w:val="20"/>
    </w:rPr>
  </w:style>
  <w:style w:type="character" w:customStyle="1" w:styleId="PARAGRAPHESTANDARDCar">
    <w:name w:val="PARAGRAPHE STANDARD Car"/>
    <w:basedOn w:val="Policepardfaut"/>
    <w:link w:val="PARAGRAPHESTANDARD0"/>
    <w:locked/>
    <w:rsid w:val="00850A44"/>
    <w:rPr>
      <w:rFonts w:ascii="Times" w:eastAsia="Times New Roman" w:hAnsi="Times" w:cs="Times New Roman"/>
      <w:sz w:val="20"/>
      <w:szCs w:val="20"/>
      <w:lang w:eastAsia="fr-FR"/>
    </w:rPr>
  </w:style>
  <w:style w:type="paragraph" w:customStyle="1" w:styleId="IECtexte2courant">
    <w:name w:val="IEC texte2 courant"/>
    <w:uiPriority w:val="99"/>
    <w:qFormat/>
    <w:rsid w:val="00BD14A5"/>
    <w:pPr>
      <w:spacing w:after="200" w:line="220" w:lineRule="exact"/>
      <w:jc w:val="both"/>
    </w:pPr>
    <w:rPr>
      <w:rFonts w:ascii="Helvetica" w:eastAsia="Times New Roman" w:hAnsi="Helvetica" w:cs="Times New Roman"/>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0">
    <w:name w:val="Pa0"/>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1">
    <w:name w:val="A1"/>
    <w:uiPriority w:val="99"/>
    <w:rsid w:val="008114D7"/>
    <w:rPr>
      <w:rFonts w:cs="ITC Avant Garde Std XLt"/>
      <w:color w:val="000000"/>
      <w:sz w:val="60"/>
      <w:szCs w:val="60"/>
    </w:rPr>
  </w:style>
  <w:style w:type="paragraph" w:customStyle="1" w:styleId="Pa1">
    <w:name w:val="Pa1"/>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2">
    <w:name w:val="A2"/>
    <w:uiPriority w:val="99"/>
    <w:rsid w:val="008114D7"/>
    <w:rPr>
      <w:rFonts w:cs="ITC Avant Garde Std XLt"/>
      <w:color w:val="000000"/>
      <w:sz w:val="20"/>
      <w:szCs w:val="20"/>
    </w:rPr>
  </w:style>
  <w:style w:type="paragraph" w:customStyle="1" w:styleId="Default">
    <w:name w:val="Default"/>
    <w:rsid w:val="00F80B3A"/>
    <w:pPr>
      <w:autoSpaceDE w:val="0"/>
      <w:autoSpaceDN w:val="0"/>
      <w:adjustRightInd w:val="0"/>
      <w:spacing w:line="240" w:lineRule="auto"/>
      <w:jc w:val="left"/>
    </w:pPr>
    <w:rPr>
      <w:rFonts w:ascii="ITC Avant Garde Std Bk Cn" w:hAnsi="ITC Avant Garde Std Bk Cn" w:cs="ITC Avant Garde Std Bk Cn"/>
      <w:color w:val="000000"/>
      <w:sz w:val="24"/>
      <w:szCs w:val="24"/>
    </w:rPr>
  </w:style>
  <w:style w:type="character" w:customStyle="1" w:styleId="A3">
    <w:name w:val="A3"/>
    <w:uiPriority w:val="99"/>
    <w:rsid w:val="00F80B3A"/>
    <w:rPr>
      <w:rFonts w:cs="ITC Avant Garde Std Bk Cn"/>
      <w:color w:val="000000"/>
      <w:sz w:val="18"/>
      <w:szCs w:val="18"/>
    </w:rPr>
  </w:style>
  <w:style w:type="paragraph" w:styleId="Textedebulles">
    <w:name w:val="Balloon Text"/>
    <w:basedOn w:val="Normal"/>
    <w:link w:val="TextedebullesCar"/>
    <w:uiPriority w:val="99"/>
    <w:semiHidden/>
    <w:unhideWhenUsed/>
    <w:rsid w:val="004172E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72E6"/>
    <w:rPr>
      <w:rFonts w:ascii="Lucida Grande" w:hAnsi="Lucida Grande" w:cs="Lucida Grande"/>
      <w:sz w:val="18"/>
      <w:szCs w:val="18"/>
    </w:rPr>
  </w:style>
  <w:style w:type="paragraph" w:styleId="En-tte">
    <w:name w:val="header"/>
    <w:basedOn w:val="Normal"/>
    <w:link w:val="En-tteCar"/>
    <w:uiPriority w:val="99"/>
    <w:unhideWhenUsed/>
    <w:rsid w:val="00DF5C8D"/>
    <w:pPr>
      <w:tabs>
        <w:tab w:val="center" w:pos="4536"/>
        <w:tab w:val="right" w:pos="9072"/>
      </w:tabs>
      <w:spacing w:line="240" w:lineRule="auto"/>
    </w:pPr>
  </w:style>
  <w:style w:type="character" w:customStyle="1" w:styleId="En-tteCar">
    <w:name w:val="En-tête Car"/>
    <w:basedOn w:val="Policepardfaut"/>
    <w:link w:val="En-tte"/>
    <w:uiPriority w:val="99"/>
    <w:rsid w:val="00DF5C8D"/>
  </w:style>
  <w:style w:type="paragraph" w:styleId="Pieddepage">
    <w:name w:val="footer"/>
    <w:basedOn w:val="Normal"/>
    <w:link w:val="PieddepageCar"/>
    <w:uiPriority w:val="99"/>
    <w:unhideWhenUsed/>
    <w:rsid w:val="00DF5C8D"/>
    <w:pPr>
      <w:tabs>
        <w:tab w:val="center" w:pos="4536"/>
        <w:tab w:val="right" w:pos="9072"/>
      </w:tabs>
      <w:spacing w:line="240" w:lineRule="auto"/>
    </w:pPr>
  </w:style>
  <w:style w:type="character" w:customStyle="1" w:styleId="PieddepageCar">
    <w:name w:val="Pied de page Car"/>
    <w:basedOn w:val="Policepardfaut"/>
    <w:link w:val="Pieddepage"/>
    <w:uiPriority w:val="99"/>
    <w:rsid w:val="00DF5C8D"/>
  </w:style>
  <w:style w:type="character" w:customStyle="1" w:styleId="apple-converted-space">
    <w:name w:val="apple-converted-space"/>
    <w:basedOn w:val="Policepardfaut"/>
    <w:rsid w:val="00057646"/>
  </w:style>
  <w:style w:type="paragraph" w:styleId="Paragraphedeliste">
    <w:name w:val="List Paragraph"/>
    <w:basedOn w:val="Normal"/>
    <w:uiPriority w:val="34"/>
    <w:qFormat/>
    <w:rsid w:val="00CA40B4"/>
    <w:pPr>
      <w:ind w:left="720"/>
      <w:contextualSpacing/>
    </w:pPr>
  </w:style>
</w:styles>
</file>

<file path=word/webSettings.xml><?xml version="1.0" encoding="utf-8"?>
<w:webSettings xmlns:r="http://schemas.openxmlformats.org/officeDocument/2006/relationships" xmlns:w="http://schemas.openxmlformats.org/wordprocessingml/2006/main">
  <w:divs>
    <w:div w:id="1212225269">
      <w:bodyDiv w:val="1"/>
      <w:marLeft w:val="0"/>
      <w:marRight w:val="0"/>
      <w:marTop w:val="0"/>
      <w:marBottom w:val="0"/>
      <w:divBdr>
        <w:top w:val="none" w:sz="0" w:space="0" w:color="auto"/>
        <w:left w:val="none" w:sz="0" w:space="0" w:color="auto"/>
        <w:bottom w:val="none" w:sz="0" w:space="0" w:color="auto"/>
        <w:right w:val="none" w:sz="0" w:space="0" w:color="auto"/>
      </w:divBdr>
    </w:div>
    <w:div w:id="1270701364">
      <w:bodyDiv w:val="1"/>
      <w:marLeft w:val="0"/>
      <w:marRight w:val="0"/>
      <w:marTop w:val="0"/>
      <w:marBottom w:val="0"/>
      <w:divBdr>
        <w:top w:val="none" w:sz="0" w:space="0" w:color="auto"/>
        <w:left w:val="none" w:sz="0" w:space="0" w:color="auto"/>
        <w:bottom w:val="none" w:sz="0" w:space="0" w:color="auto"/>
        <w:right w:val="none" w:sz="0" w:space="0" w:color="auto"/>
      </w:divBdr>
      <w:divsChild>
        <w:div w:id="2075858959">
          <w:marLeft w:val="0"/>
          <w:marRight w:val="0"/>
          <w:marTop w:val="0"/>
          <w:marBottom w:val="0"/>
          <w:divBdr>
            <w:top w:val="none" w:sz="0" w:space="0" w:color="auto"/>
            <w:left w:val="none" w:sz="0" w:space="0" w:color="auto"/>
            <w:bottom w:val="none" w:sz="0" w:space="0" w:color="auto"/>
            <w:right w:val="none" w:sz="0" w:space="0" w:color="auto"/>
          </w:divBdr>
        </w:div>
        <w:div w:id="2101676608">
          <w:marLeft w:val="0"/>
          <w:marRight w:val="0"/>
          <w:marTop w:val="0"/>
          <w:marBottom w:val="0"/>
          <w:divBdr>
            <w:top w:val="none" w:sz="0" w:space="0" w:color="auto"/>
            <w:left w:val="none" w:sz="0" w:space="0" w:color="auto"/>
            <w:bottom w:val="none" w:sz="0" w:space="0" w:color="auto"/>
            <w:right w:val="none" w:sz="0" w:space="0" w:color="auto"/>
          </w:divBdr>
        </w:div>
      </w:divsChild>
    </w:div>
    <w:div w:id="129992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4757</Words>
  <Characters>26166</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PINOCHET</dc:creator>
  <cp:lastModifiedBy>GHA</cp:lastModifiedBy>
  <cp:revision>2</cp:revision>
  <dcterms:created xsi:type="dcterms:W3CDTF">2014-06-01T14:38:00Z</dcterms:created>
  <dcterms:modified xsi:type="dcterms:W3CDTF">2014-06-01T14:38:00Z</dcterms:modified>
</cp:coreProperties>
</file>