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15119" w14:textId="77777777" w:rsidR="00616CFC" w:rsidRDefault="00616CFC" w:rsidP="00616CFC">
      <w:pPr>
        <w:ind w:left="57" w:right="57"/>
        <w:jc w:val="center"/>
        <w:rPr>
          <w:rFonts w:ascii="Verdana" w:hAnsi="Verdana"/>
        </w:rPr>
      </w:pPr>
    </w:p>
    <w:p w14:paraId="5390FA28" w14:textId="77777777" w:rsidR="00E3568D" w:rsidRDefault="00E3568D" w:rsidP="00E3568D">
      <w:pPr>
        <w:shd w:val="clear" w:color="auto" w:fill="D51366"/>
        <w:ind w:left="57" w:right="57"/>
        <w:jc w:val="center"/>
        <w:rPr>
          <w:rFonts w:ascii="Verdana" w:hAnsi="Verdana"/>
          <w:b/>
          <w:color w:val="FFFFFF"/>
        </w:rPr>
      </w:pPr>
    </w:p>
    <w:p w14:paraId="2AFDBA98" w14:textId="77777777" w:rsidR="00D221E3" w:rsidRPr="00DA72DA" w:rsidRDefault="00D221E3" w:rsidP="00E3568D">
      <w:pPr>
        <w:shd w:val="clear" w:color="auto" w:fill="D51366"/>
        <w:ind w:left="57" w:right="57"/>
        <w:jc w:val="center"/>
        <w:rPr>
          <w:rFonts w:ascii="Verdana" w:hAnsi="Verdana"/>
          <w:b/>
          <w:color w:val="FFFFFF"/>
        </w:rPr>
      </w:pPr>
    </w:p>
    <w:p w14:paraId="7BD9B4B5" w14:textId="77777777" w:rsidR="00E3568D" w:rsidRDefault="009107BF" w:rsidP="00E3568D">
      <w:pPr>
        <w:shd w:val="clear" w:color="auto" w:fill="D51366"/>
        <w:ind w:left="57" w:right="57"/>
        <w:jc w:val="center"/>
        <w:rPr>
          <w:rFonts w:ascii="Verdana" w:hAnsi="Verdana"/>
          <w:b/>
          <w:color w:val="FFFFFF"/>
          <w:sz w:val="28"/>
          <w:szCs w:val="28"/>
        </w:rPr>
      </w:pPr>
      <w:r>
        <w:rPr>
          <w:rFonts w:ascii="Verdana" w:hAnsi="Verdana"/>
          <w:b/>
          <w:color w:val="FFFFFF"/>
          <w:sz w:val="28"/>
          <w:szCs w:val="28"/>
        </w:rPr>
        <w:t>3</w:t>
      </w:r>
      <w:r w:rsidRPr="009107BF">
        <w:rPr>
          <w:rFonts w:ascii="Verdana" w:hAnsi="Verdana"/>
          <w:b/>
          <w:color w:val="FFFFFF"/>
          <w:sz w:val="28"/>
          <w:szCs w:val="28"/>
          <w:vertAlign w:val="superscript"/>
        </w:rPr>
        <w:t>ème</w:t>
      </w:r>
      <w:r>
        <w:rPr>
          <w:rFonts w:ascii="Verdana" w:hAnsi="Verdana"/>
          <w:b/>
          <w:color w:val="FFFFFF"/>
          <w:sz w:val="28"/>
          <w:szCs w:val="28"/>
        </w:rPr>
        <w:t xml:space="preserve"> </w:t>
      </w:r>
      <w:r w:rsidR="00E3568D">
        <w:rPr>
          <w:rFonts w:ascii="Verdana" w:hAnsi="Verdana"/>
          <w:b/>
          <w:color w:val="FFFFFF"/>
          <w:sz w:val="28"/>
          <w:szCs w:val="28"/>
        </w:rPr>
        <w:t>trimestre 2014</w:t>
      </w:r>
    </w:p>
    <w:p w14:paraId="59F1C41F" w14:textId="77777777" w:rsidR="00D221E3" w:rsidRDefault="00D221E3" w:rsidP="00E3568D">
      <w:pPr>
        <w:shd w:val="clear" w:color="auto" w:fill="D51366"/>
        <w:ind w:left="57" w:right="57"/>
        <w:jc w:val="center"/>
        <w:rPr>
          <w:rFonts w:ascii="Verdana" w:hAnsi="Verdana"/>
          <w:b/>
          <w:color w:val="FFFFFF"/>
          <w:sz w:val="28"/>
          <w:szCs w:val="28"/>
        </w:rPr>
      </w:pPr>
    </w:p>
    <w:p w14:paraId="69F67E56" w14:textId="2A5A8539" w:rsidR="00E3568D" w:rsidRPr="0044616C" w:rsidRDefault="00C32951" w:rsidP="00E3568D">
      <w:pPr>
        <w:shd w:val="clear" w:color="auto" w:fill="D51366"/>
        <w:ind w:left="57" w:right="57"/>
        <w:jc w:val="center"/>
        <w:rPr>
          <w:rFonts w:ascii="Verdana" w:hAnsi="Verdana"/>
          <w:b/>
          <w:color w:val="FFFFFF"/>
          <w:sz w:val="24"/>
          <w:szCs w:val="24"/>
        </w:rPr>
      </w:pPr>
      <w:r w:rsidRPr="0044616C">
        <w:rPr>
          <w:rFonts w:ascii="Verdana" w:hAnsi="Verdana"/>
          <w:b/>
          <w:color w:val="FFFFFF"/>
          <w:sz w:val="24"/>
          <w:szCs w:val="24"/>
        </w:rPr>
        <w:t xml:space="preserve">Le groupe  </w:t>
      </w:r>
      <w:r w:rsidR="003152E0">
        <w:rPr>
          <w:rFonts w:ascii="Verdana" w:hAnsi="Verdana"/>
          <w:b/>
          <w:color w:val="FFFFFF"/>
          <w:sz w:val="24"/>
          <w:szCs w:val="24"/>
        </w:rPr>
        <w:t xml:space="preserve">enregistre </w:t>
      </w:r>
      <w:r w:rsidRPr="0044616C">
        <w:rPr>
          <w:rFonts w:ascii="Verdana" w:hAnsi="Verdana"/>
          <w:b/>
          <w:color w:val="FFFFFF"/>
          <w:sz w:val="24"/>
          <w:szCs w:val="24"/>
        </w:rPr>
        <w:t xml:space="preserve">une activité soutenue </w:t>
      </w:r>
    </w:p>
    <w:p w14:paraId="30598960" w14:textId="77777777" w:rsidR="00E3568D" w:rsidRDefault="00E3568D" w:rsidP="00E3568D">
      <w:pPr>
        <w:shd w:val="clear" w:color="auto" w:fill="D51366"/>
        <w:ind w:left="57" w:right="57"/>
        <w:jc w:val="center"/>
        <w:rPr>
          <w:rFonts w:ascii="Verdana" w:hAnsi="Verdana"/>
          <w:b/>
          <w:color w:val="FFFFFF"/>
          <w:sz w:val="28"/>
          <w:szCs w:val="28"/>
        </w:rPr>
      </w:pPr>
    </w:p>
    <w:p w14:paraId="75F8036F" w14:textId="77777777" w:rsidR="00E3568D" w:rsidRPr="00DA72DA" w:rsidRDefault="00E3568D" w:rsidP="00E3568D">
      <w:pPr>
        <w:shd w:val="clear" w:color="auto" w:fill="D51366"/>
        <w:ind w:left="57" w:right="57"/>
        <w:rPr>
          <w:rFonts w:ascii="Verdana" w:hAnsi="Verdana"/>
          <w:b/>
          <w:color w:val="FFFFFF"/>
        </w:rPr>
      </w:pPr>
    </w:p>
    <w:p w14:paraId="46A8B82E" w14:textId="77777777" w:rsidR="00E3568D" w:rsidRPr="00616CFC" w:rsidRDefault="00E3568D" w:rsidP="00E3568D">
      <w:pPr>
        <w:ind w:left="57" w:right="57"/>
        <w:jc w:val="center"/>
        <w:rPr>
          <w:rFonts w:ascii="Verdana" w:hAnsi="Verdana"/>
        </w:rPr>
      </w:pPr>
    </w:p>
    <w:p w14:paraId="51AE841E" w14:textId="77777777" w:rsidR="00E3568D" w:rsidRDefault="00E3568D" w:rsidP="00616CFC">
      <w:pPr>
        <w:ind w:left="57" w:right="57"/>
        <w:jc w:val="center"/>
        <w:rPr>
          <w:rFonts w:ascii="Verdana" w:hAnsi="Verdana"/>
        </w:rPr>
      </w:pPr>
    </w:p>
    <w:p w14:paraId="2F0F50B6" w14:textId="77777777" w:rsidR="00DA72DA" w:rsidRPr="00616CFC" w:rsidRDefault="00DA72DA" w:rsidP="00616CFC">
      <w:pPr>
        <w:ind w:left="57" w:right="57"/>
        <w:jc w:val="center"/>
        <w:rPr>
          <w:rFonts w:ascii="Verdana" w:hAnsi="Verdana"/>
        </w:rPr>
      </w:pPr>
    </w:p>
    <w:p w14:paraId="79981979" w14:textId="77777777" w:rsidR="00616CFC" w:rsidRPr="00616CFC" w:rsidRDefault="00616CFC" w:rsidP="00616CFC">
      <w:pPr>
        <w:ind w:left="57" w:right="57"/>
        <w:jc w:val="center"/>
        <w:rPr>
          <w:rFonts w:ascii="Verdana" w:hAnsi="Verdana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1753"/>
        <w:gridCol w:w="1755"/>
        <w:gridCol w:w="1752"/>
        <w:gridCol w:w="1754"/>
      </w:tblGrid>
      <w:tr w:rsidR="0015292C" w:rsidRPr="00616CFC" w14:paraId="2BF40FA6" w14:textId="77777777" w:rsidTr="00D229BE">
        <w:trPr>
          <w:trHeight w:val="270"/>
        </w:trPr>
        <w:tc>
          <w:tcPr>
            <w:tcW w:w="1413" w:type="pct"/>
            <w:tcBorders>
              <w:right w:val="single" w:sz="4" w:space="0" w:color="4C4E5D"/>
            </w:tcBorders>
            <w:shd w:val="clear" w:color="auto" w:fill="auto"/>
            <w:noWrap/>
            <w:vAlign w:val="bottom"/>
          </w:tcPr>
          <w:p w14:paraId="5B164279" w14:textId="77777777" w:rsidR="0015292C" w:rsidRPr="00616CFC" w:rsidRDefault="0015292C" w:rsidP="00616CFC">
            <w:pPr>
              <w:rPr>
                <w:rFonts w:ascii="Verdana" w:hAnsi="Verdana" w:cs="Arial"/>
                <w:b/>
              </w:rPr>
            </w:pPr>
            <w:r w:rsidRPr="00616CFC">
              <w:rPr>
                <w:rFonts w:ascii="Verdana" w:hAnsi="Verdana" w:cs="Arial"/>
                <w:b/>
              </w:rPr>
              <w:t> </w:t>
            </w:r>
          </w:p>
        </w:tc>
        <w:tc>
          <w:tcPr>
            <w:tcW w:w="896" w:type="pct"/>
            <w:tcBorders>
              <w:top w:val="single" w:sz="4" w:space="0" w:color="4C4E5D"/>
              <w:left w:val="single" w:sz="4" w:space="0" w:color="4C4E5D"/>
              <w:bottom w:val="single" w:sz="4" w:space="0" w:color="4C4E5D"/>
              <w:right w:val="single" w:sz="4" w:space="0" w:color="4C4E5D"/>
            </w:tcBorders>
            <w:shd w:val="clear" w:color="auto" w:fill="4C4E5D"/>
            <w:noWrap/>
            <w:vAlign w:val="bottom"/>
          </w:tcPr>
          <w:p w14:paraId="0000FE31" w14:textId="77777777" w:rsidR="0015292C" w:rsidRPr="00616CFC" w:rsidRDefault="00D651E8" w:rsidP="00616CFC">
            <w:pPr>
              <w:jc w:val="center"/>
              <w:rPr>
                <w:rFonts w:ascii="Verdana" w:hAnsi="Verdana" w:cs="Arial"/>
                <w:b/>
                <w:color w:val="FFFFFF"/>
              </w:rPr>
            </w:pPr>
            <w:r>
              <w:rPr>
                <w:rFonts w:ascii="Verdana" w:hAnsi="Verdana" w:cs="Arial"/>
                <w:b/>
                <w:color w:val="FFFFFF"/>
              </w:rPr>
              <w:t>2014</w:t>
            </w:r>
          </w:p>
        </w:tc>
        <w:tc>
          <w:tcPr>
            <w:tcW w:w="897" w:type="pct"/>
            <w:tcBorders>
              <w:top w:val="single" w:sz="4" w:space="0" w:color="4C4E5D"/>
              <w:left w:val="single" w:sz="4" w:space="0" w:color="4C4E5D"/>
              <w:bottom w:val="single" w:sz="4" w:space="0" w:color="4C4E5D"/>
              <w:right w:val="single" w:sz="4" w:space="0" w:color="4C4E5D"/>
            </w:tcBorders>
            <w:shd w:val="clear" w:color="auto" w:fill="4C4E5D"/>
            <w:noWrap/>
            <w:vAlign w:val="bottom"/>
          </w:tcPr>
          <w:p w14:paraId="4124564C" w14:textId="77777777" w:rsidR="0015292C" w:rsidRPr="00616CFC" w:rsidRDefault="00D651E8" w:rsidP="00616CFC">
            <w:pPr>
              <w:jc w:val="center"/>
              <w:rPr>
                <w:rFonts w:ascii="Verdana" w:hAnsi="Verdana" w:cs="Arial"/>
                <w:b/>
                <w:color w:val="FFFFFF"/>
              </w:rPr>
            </w:pPr>
            <w:r>
              <w:rPr>
                <w:rFonts w:ascii="Verdana" w:hAnsi="Verdana" w:cs="Arial"/>
                <w:b/>
                <w:color w:val="FFFFFF"/>
              </w:rPr>
              <w:t>2013</w:t>
            </w:r>
          </w:p>
        </w:tc>
        <w:tc>
          <w:tcPr>
            <w:tcW w:w="896" w:type="pct"/>
            <w:vMerge w:val="restart"/>
            <w:tcBorders>
              <w:top w:val="single" w:sz="4" w:space="0" w:color="4C4E5D"/>
              <w:left w:val="single" w:sz="4" w:space="0" w:color="4C4E5D"/>
              <w:bottom w:val="single" w:sz="4" w:space="0" w:color="4C4E5D"/>
              <w:right w:val="single" w:sz="4" w:space="0" w:color="4C4E5D"/>
            </w:tcBorders>
            <w:shd w:val="clear" w:color="auto" w:fill="4C4E5D"/>
            <w:noWrap/>
            <w:vAlign w:val="center"/>
          </w:tcPr>
          <w:p w14:paraId="2A0F79CE" w14:textId="77777777" w:rsidR="0015292C" w:rsidRPr="00616CFC" w:rsidRDefault="0015292C" w:rsidP="0015292C">
            <w:pPr>
              <w:jc w:val="center"/>
              <w:rPr>
                <w:rFonts w:ascii="Verdana" w:hAnsi="Verdana" w:cs="Arial"/>
                <w:b/>
                <w:color w:val="FFFFFF"/>
              </w:rPr>
            </w:pPr>
            <w:r w:rsidRPr="00616CFC">
              <w:rPr>
                <w:rFonts w:ascii="Verdana" w:hAnsi="Verdana" w:cs="Arial"/>
                <w:color w:val="FFFFFF"/>
              </w:rPr>
              <w:t>Publié</w:t>
            </w:r>
          </w:p>
        </w:tc>
        <w:tc>
          <w:tcPr>
            <w:tcW w:w="897" w:type="pct"/>
            <w:vMerge w:val="restart"/>
            <w:tcBorders>
              <w:top w:val="single" w:sz="4" w:space="0" w:color="4C4E5D"/>
              <w:left w:val="single" w:sz="4" w:space="0" w:color="4C4E5D"/>
              <w:bottom w:val="single" w:sz="4" w:space="0" w:color="4C4E5D"/>
              <w:right w:val="single" w:sz="4" w:space="0" w:color="4C4E5D"/>
            </w:tcBorders>
            <w:shd w:val="clear" w:color="auto" w:fill="4C4E5D"/>
            <w:noWrap/>
            <w:vAlign w:val="center"/>
          </w:tcPr>
          <w:p w14:paraId="2EC08D28" w14:textId="77777777" w:rsidR="0015292C" w:rsidRPr="00616CFC" w:rsidRDefault="0015292C" w:rsidP="0015292C">
            <w:pPr>
              <w:jc w:val="center"/>
              <w:rPr>
                <w:rFonts w:ascii="Verdana" w:hAnsi="Verdana" w:cs="Arial"/>
                <w:b/>
                <w:color w:val="FFFFFF"/>
              </w:rPr>
            </w:pPr>
            <w:r w:rsidRPr="00616CFC">
              <w:rPr>
                <w:rFonts w:ascii="Verdana" w:hAnsi="Verdana" w:cs="Arial"/>
                <w:color w:val="FFFFFF"/>
              </w:rPr>
              <w:t>Comparable</w:t>
            </w:r>
          </w:p>
        </w:tc>
      </w:tr>
      <w:tr w:rsidR="0015292C" w:rsidRPr="00616CFC" w14:paraId="5E8A10DC" w14:textId="77777777" w:rsidTr="009107BF">
        <w:trPr>
          <w:trHeight w:val="255"/>
        </w:trPr>
        <w:tc>
          <w:tcPr>
            <w:tcW w:w="1413" w:type="pct"/>
            <w:tcBorders>
              <w:bottom w:val="single" w:sz="4" w:space="0" w:color="4C4E5D"/>
              <w:right w:val="single" w:sz="4" w:space="0" w:color="4C4E5D"/>
            </w:tcBorders>
            <w:shd w:val="clear" w:color="auto" w:fill="auto"/>
            <w:noWrap/>
            <w:vAlign w:val="bottom"/>
          </w:tcPr>
          <w:p w14:paraId="4D091E28" w14:textId="77777777" w:rsidR="0015292C" w:rsidRPr="00616CFC" w:rsidRDefault="0015292C" w:rsidP="00616CFC">
            <w:pPr>
              <w:rPr>
                <w:rFonts w:ascii="Verdana" w:hAnsi="Verdana" w:cs="Arial"/>
              </w:rPr>
            </w:pPr>
            <w:r w:rsidRPr="00616CFC">
              <w:rPr>
                <w:rFonts w:ascii="Verdana" w:hAnsi="Verdana" w:cs="Arial"/>
              </w:rPr>
              <w:t> </w:t>
            </w:r>
          </w:p>
        </w:tc>
        <w:tc>
          <w:tcPr>
            <w:tcW w:w="896" w:type="pct"/>
            <w:tcBorders>
              <w:top w:val="single" w:sz="4" w:space="0" w:color="4C4E5D"/>
              <w:left w:val="single" w:sz="4" w:space="0" w:color="4C4E5D"/>
              <w:bottom w:val="single" w:sz="4" w:space="0" w:color="4C4E5D"/>
              <w:right w:val="single" w:sz="4" w:space="0" w:color="4C4E5D"/>
            </w:tcBorders>
            <w:shd w:val="clear" w:color="auto" w:fill="4C4E5D"/>
            <w:noWrap/>
            <w:vAlign w:val="bottom"/>
          </w:tcPr>
          <w:p w14:paraId="71D6CFFA" w14:textId="77777777" w:rsidR="0015292C" w:rsidRPr="00616CFC" w:rsidRDefault="0015292C" w:rsidP="00616CFC">
            <w:pPr>
              <w:jc w:val="center"/>
              <w:rPr>
                <w:rFonts w:ascii="Verdana" w:hAnsi="Verdana" w:cs="Arial"/>
                <w:color w:val="FFFFFF"/>
              </w:rPr>
            </w:pPr>
            <w:r w:rsidRPr="00616CFC">
              <w:rPr>
                <w:rFonts w:ascii="Verdana" w:hAnsi="Verdana" w:cs="Arial"/>
                <w:color w:val="FFFFFF"/>
              </w:rPr>
              <w:t>M€</w:t>
            </w:r>
          </w:p>
        </w:tc>
        <w:tc>
          <w:tcPr>
            <w:tcW w:w="897" w:type="pct"/>
            <w:tcBorders>
              <w:top w:val="single" w:sz="4" w:space="0" w:color="4C4E5D"/>
              <w:left w:val="single" w:sz="4" w:space="0" w:color="4C4E5D"/>
              <w:bottom w:val="single" w:sz="4" w:space="0" w:color="4C4E5D"/>
              <w:right w:val="single" w:sz="4" w:space="0" w:color="4C4E5D"/>
            </w:tcBorders>
            <w:shd w:val="clear" w:color="auto" w:fill="4C4E5D"/>
            <w:noWrap/>
            <w:vAlign w:val="bottom"/>
          </w:tcPr>
          <w:p w14:paraId="58F595CA" w14:textId="77777777" w:rsidR="0015292C" w:rsidRPr="00616CFC" w:rsidRDefault="0015292C" w:rsidP="00616CFC">
            <w:pPr>
              <w:jc w:val="center"/>
              <w:rPr>
                <w:rFonts w:ascii="Verdana" w:hAnsi="Verdana" w:cs="Arial"/>
                <w:color w:val="FFFFFF"/>
              </w:rPr>
            </w:pPr>
            <w:r w:rsidRPr="00616CFC">
              <w:rPr>
                <w:rFonts w:ascii="Verdana" w:hAnsi="Verdana" w:cs="Arial"/>
                <w:color w:val="FFFFFF"/>
              </w:rPr>
              <w:t>M€</w:t>
            </w:r>
          </w:p>
        </w:tc>
        <w:tc>
          <w:tcPr>
            <w:tcW w:w="896" w:type="pct"/>
            <w:vMerge/>
            <w:tcBorders>
              <w:top w:val="single" w:sz="4" w:space="0" w:color="4C4E5D"/>
              <w:left w:val="single" w:sz="4" w:space="0" w:color="4C4E5D"/>
              <w:bottom w:val="single" w:sz="4" w:space="0" w:color="4C4E5D"/>
              <w:right w:val="single" w:sz="4" w:space="0" w:color="4C4E5D"/>
            </w:tcBorders>
            <w:shd w:val="clear" w:color="auto" w:fill="002060"/>
            <w:noWrap/>
            <w:vAlign w:val="bottom"/>
          </w:tcPr>
          <w:p w14:paraId="60805CD8" w14:textId="77777777" w:rsidR="0015292C" w:rsidRPr="00616CFC" w:rsidRDefault="0015292C" w:rsidP="00616CFC">
            <w:pPr>
              <w:jc w:val="center"/>
              <w:rPr>
                <w:rFonts w:ascii="Verdana" w:hAnsi="Verdana" w:cs="Arial"/>
                <w:color w:val="FFFFFF"/>
              </w:rPr>
            </w:pPr>
          </w:p>
        </w:tc>
        <w:tc>
          <w:tcPr>
            <w:tcW w:w="897" w:type="pct"/>
            <w:vMerge/>
            <w:tcBorders>
              <w:top w:val="single" w:sz="4" w:space="0" w:color="4C4E5D"/>
              <w:left w:val="single" w:sz="4" w:space="0" w:color="4C4E5D"/>
              <w:bottom w:val="single" w:sz="4" w:space="0" w:color="4C4E5D"/>
              <w:right w:val="single" w:sz="4" w:space="0" w:color="4C4E5D"/>
            </w:tcBorders>
            <w:shd w:val="clear" w:color="auto" w:fill="002060"/>
            <w:noWrap/>
            <w:vAlign w:val="bottom"/>
          </w:tcPr>
          <w:p w14:paraId="3776AAFA" w14:textId="77777777" w:rsidR="0015292C" w:rsidRPr="00616CFC" w:rsidRDefault="0015292C" w:rsidP="00616CFC">
            <w:pPr>
              <w:jc w:val="center"/>
              <w:rPr>
                <w:rFonts w:ascii="Verdana" w:hAnsi="Verdana" w:cs="Arial"/>
                <w:color w:val="FFFFFF"/>
              </w:rPr>
            </w:pPr>
          </w:p>
        </w:tc>
      </w:tr>
      <w:tr w:rsidR="00D651E8" w:rsidRPr="00616CFC" w14:paraId="6D9F773E" w14:textId="77777777" w:rsidTr="009107BF">
        <w:trPr>
          <w:trHeight w:val="255"/>
        </w:trPr>
        <w:tc>
          <w:tcPr>
            <w:tcW w:w="1413" w:type="pct"/>
            <w:tcBorders>
              <w:top w:val="single" w:sz="4" w:space="0" w:color="4C4E5D"/>
              <w:left w:val="single" w:sz="4" w:space="0" w:color="4C4E5D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1B5B22B" w14:textId="77777777" w:rsidR="00D651E8" w:rsidRPr="00C64C6B" w:rsidRDefault="00D651E8" w:rsidP="00792A87">
            <w:pPr>
              <w:spacing w:before="40" w:after="40"/>
              <w:rPr>
                <w:rFonts w:ascii="Verdana" w:hAnsi="Verdana" w:cs="Arial"/>
                <w:b/>
                <w:color w:val="4C4E5D"/>
              </w:rPr>
            </w:pPr>
            <w:r w:rsidRPr="00C64C6B">
              <w:rPr>
                <w:rFonts w:ascii="Verdana" w:hAnsi="Verdana" w:cs="Arial"/>
                <w:b/>
                <w:color w:val="4C4E5D"/>
              </w:rPr>
              <w:t>Premier trimestre</w:t>
            </w:r>
          </w:p>
        </w:tc>
        <w:tc>
          <w:tcPr>
            <w:tcW w:w="896" w:type="pct"/>
            <w:tcBorders>
              <w:top w:val="single" w:sz="4" w:space="0" w:color="4C4E5D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2810B30" w14:textId="77777777" w:rsidR="00D651E8" w:rsidRPr="00C64C6B" w:rsidRDefault="00D651E8" w:rsidP="00792A87">
            <w:pPr>
              <w:jc w:val="center"/>
              <w:rPr>
                <w:rFonts w:ascii="Arial" w:hAnsi="Arial" w:cs="Arial"/>
                <w:b/>
                <w:color w:val="4C4E5D"/>
              </w:rPr>
            </w:pPr>
            <w:r>
              <w:rPr>
                <w:rFonts w:ascii="Arial" w:hAnsi="Arial" w:cs="Arial"/>
                <w:b/>
                <w:color w:val="4C4E5D"/>
              </w:rPr>
              <w:t>40</w:t>
            </w:r>
            <w:r w:rsidRPr="00C64C6B">
              <w:rPr>
                <w:rFonts w:ascii="Arial" w:hAnsi="Arial" w:cs="Arial"/>
                <w:b/>
                <w:color w:val="4C4E5D"/>
              </w:rPr>
              <w:t>,5</w:t>
            </w:r>
          </w:p>
        </w:tc>
        <w:tc>
          <w:tcPr>
            <w:tcW w:w="897" w:type="pct"/>
            <w:tcBorders>
              <w:top w:val="single" w:sz="4" w:space="0" w:color="4C4E5D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B971C1D" w14:textId="77777777" w:rsidR="00D651E8" w:rsidRPr="00C64C6B" w:rsidRDefault="00D651E8" w:rsidP="00C93255">
            <w:pPr>
              <w:jc w:val="center"/>
              <w:rPr>
                <w:rFonts w:ascii="Arial" w:hAnsi="Arial" w:cs="Arial"/>
                <w:b/>
                <w:color w:val="4C4E5D"/>
              </w:rPr>
            </w:pPr>
            <w:r w:rsidRPr="00C64C6B">
              <w:rPr>
                <w:rFonts w:ascii="Arial" w:hAnsi="Arial" w:cs="Arial"/>
                <w:b/>
                <w:color w:val="4C4E5D"/>
              </w:rPr>
              <w:t>42,5</w:t>
            </w:r>
          </w:p>
        </w:tc>
        <w:tc>
          <w:tcPr>
            <w:tcW w:w="896" w:type="pct"/>
            <w:tcBorders>
              <w:top w:val="single" w:sz="4" w:space="0" w:color="4C4E5D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F1E38B0" w14:textId="77777777" w:rsidR="00D651E8" w:rsidRPr="00C64C6B" w:rsidRDefault="00D651E8" w:rsidP="00ED41CE">
            <w:pPr>
              <w:jc w:val="center"/>
              <w:rPr>
                <w:rFonts w:ascii="Arial" w:hAnsi="Arial" w:cs="Arial"/>
                <w:b/>
                <w:color w:val="4C4E5D"/>
              </w:rPr>
            </w:pPr>
            <w:r>
              <w:rPr>
                <w:rFonts w:ascii="Arial" w:hAnsi="Arial" w:cs="Arial"/>
                <w:b/>
                <w:color w:val="4C4E5D"/>
              </w:rPr>
              <w:t>-</w:t>
            </w:r>
            <w:r w:rsidR="00E3568D">
              <w:rPr>
                <w:rFonts w:ascii="Arial" w:hAnsi="Arial" w:cs="Arial"/>
                <w:b/>
                <w:color w:val="4C4E5D"/>
              </w:rPr>
              <w:t xml:space="preserve"> </w:t>
            </w:r>
            <w:r>
              <w:rPr>
                <w:rFonts w:ascii="Arial" w:hAnsi="Arial" w:cs="Arial"/>
                <w:b/>
                <w:color w:val="4C4E5D"/>
              </w:rPr>
              <w:t>4,7%</w:t>
            </w:r>
          </w:p>
        </w:tc>
        <w:tc>
          <w:tcPr>
            <w:tcW w:w="897" w:type="pct"/>
            <w:tcBorders>
              <w:top w:val="single" w:sz="4" w:space="0" w:color="4C4E5D"/>
              <w:left w:val="single" w:sz="4" w:space="0" w:color="000000" w:themeColor="text1"/>
              <w:bottom w:val="single" w:sz="4" w:space="0" w:color="000000" w:themeColor="text1"/>
              <w:right w:val="single" w:sz="4" w:space="0" w:color="4C4E5D"/>
            </w:tcBorders>
            <w:shd w:val="clear" w:color="auto" w:fill="auto"/>
            <w:noWrap/>
            <w:vAlign w:val="center"/>
          </w:tcPr>
          <w:p w14:paraId="05717B9A" w14:textId="77777777" w:rsidR="00D651E8" w:rsidRPr="00C64C6B" w:rsidRDefault="00D651E8" w:rsidP="00ED41CE">
            <w:pPr>
              <w:jc w:val="center"/>
              <w:rPr>
                <w:rFonts w:ascii="Arial" w:hAnsi="Arial" w:cs="Arial"/>
                <w:b/>
                <w:color w:val="4C4E5D"/>
              </w:rPr>
            </w:pPr>
            <w:r>
              <w:rPr>
                <w:rFonts w:ascii="Arial" w:hAnsi="Arial" w:cs="Arial"/>
                <w:b/>
                <w:color w:val="4C4E5D"/>
              </w:rPr>
              <w:t>-</w:t>
            </w:r>
            <w:r w:rsidR="00E3568D">
              <w:rPr>
                <w:rFonts w:ascii="Arial" w:hAnsi="Arial" w:cs="Arial"/>
                <w:b/>
                <w:color w:val="4C4E5D"/>
              </w:rPr>
              <w:t xml:space="preserve"> </w:t>
            </w:r>
            <w:r w:rsidR="00474A78">
              <w:rPr>
                <w:rFonts w:ascii="Arial" w:hAnsi="Arial" w:cs="Arial"/>
                <w:b/>
                <w:color w:val="4C4E5D"/>
              </w:rPr>
              <w:t>4,7</w:t>
            </w:r>
            <w:r>
              <w:rPr>
                <w:rFonts w:ascii="Arial" w:hAnsi="Arial" w:cs="Arial"/>
                <w:b/>
                <w:color w:val="4C4E5D"/>
              </w:rPr>
              <w:t>%</w:t>
            </w:r>
          </w:p>
        </w:tc>
      </w:tr>
      <w:tr w:rsidR="009107BF" w:rsidRPr="009107BF" w14:paraId="573E71DC" w14:textId="77777777" w:rsidTr="009107BF">
        <w:trPr>
          <w:trHeight w:val="165"/>
        </w:trPr>
        <w:tc>
          <w:tcPr>
            <w:tcW w:w="1413" w:type="pct"/>
            <w:tcBorders>
              <w:top w:val="single" w:sz="4" w:space="0" w:color="000000" w:themeColor="text1"/>
              <w:left w:val="single" w:sz="4" w:space="0" w:color="D5136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9AE7D7C" w14:textId="77777777" w:rsidR="009107BF" w:rsidRPr="009107BF" w:rsidRDefault="009107BF" w:rsidP="00792A87">
            <w:pPr>
              <w:spacing w:before="40" w:after="40"/>
              <w:rPr>
                <w:rFonts w:ascii="Verdana" w:hAnsi="Verdana" w:cs="Arial"/>
                <w:b/>
                <w:color w:val="4C4E5D"/>
              </w:rPr>
            </w:pPr>
            <w:r>
              <w:rPr>
                <w:rFonts w:ascii="Verdana" w:hAnsi="Verdana" w:cs="Arial"/>
                <w:b/>
                <w:color w:val="4C4E5D"/>
              </w:rPr>
              <w:t>Deuxième trimestre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610D08B" w14:textId="77777777" w:rsidR="009107BF" w:rsidRPr="009107BF" w:rsidRDefault="009107BF" w:rsidP="009107BF">
            <w:pPr>
              <w:jc w:val="center"/>
              <w:rPr>
                <w:rFonts w:ascii="Arial" w:hAnsi="Arial" w:cs="Arial"/>
                <w:b/>
                <w:color w:val="4C4E5D"/>
              </w:rPr>
            </w:pPr>
            <w:r w:rsidRPr="009107BF">
              <w:rPr>
                <w:rFonts w:ascii="Arial" w:hAnsi="Arial" w:cs="Arial"/>
                <w:b/>
                <w:color w:val="4C4E5D"/>
              </w:rPr>
              <w:t>40,8</w:t>
            </w:r>
          </w:p>
        </w:tc>
        <w:tc>
          <w:tcPr>
            <w:tcW w:w="8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E1D3DCF" w14:textId="77777777" w:rsidR="009107BF" w:rsidRPr="009107BF" w:rsidRDefault="009107BF" w:rsidP="009107BF">
            <w:pPr>
              <w:jc w:val="center"/>
              <w:rPr>
                <w:rFonts w:ascii="Arial" w:hAnsi="Arial" w:cs="Arial"/>
                <w:b/>
                <w:color w:val="4C4E5D"/>
              </w:rPr>
            </w:pPr>
            <w:r w:rsidRPr="009107BF">
              <w:rPr>
                <w:rFonts w:ascii="Arial" w:hAnsi="Arial" w:cs="Arial"/>
                <w:b/>
                <w:color w:val="4C4E5D"/>
              </w:rPr>
              <w:t>43,8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2D91BD2" w14:textId="77777777" w:rsidR="009107BF" w:rsidRPr="009107BF" w:rsidRDefault="009107BF" w:rsidP="009107BF">
            <w:pPr>
              <w:jc w:val="center"/>
              <w:rPr>
                <w:rFonts w:ascii="Arial" w:hAnsi="Arial" w:cs="Arial"/>
                <w:b/>
                <w:color w:val="4C4E5D"/>
              </w:rPr>
            </w:pPr>
            <w:r>
              <w:rPr>
                <w:rFonts w:ascii="Arial" w:hAnsi="Arial" w:cs="Arial"/>
                <w:b/>
                <w:color w:val="4C4E5D"/>
              </w:rPr>
              <w:t>-</w:t>
            </w:r>
            <w:r w:rsidR="00C05CA5">
              <w:rPr>
                <w:rFonts w:ascii="Arial" w:hAnsi="Arial" w:cs="Arial"/>
                <w:b/>
                <w:color w:val="4C4E5D"/>
              </w:rPr>
              <w:t xml:space="preserve"> </w:t>
            </w:r>
            <w:r>
              <w:rPr>
                <w:rFonts w:ascii="Arial" w:hAnsi="Arial" w:cs="Arial"/>
                <w:b/>
                <w:color w:val="4C4E5D"/>
              </w:rPr>
              <w:t>6,7</w:t>
            </w:r>
            <w:r w:rsidR="00C05CA5">
              <w:rPr>
                <w:rFonts w:ascii="Arial" w:hAnsi="Arial" w:cs="Arial"/>
                <w:b/>
                <w:color w:val="4C4E5D"/>
              </w:rPr>
              <w:t>%</w:t>
            </w:r>
          </w:p>
        </w:tc>
        <w:tc>
          <w:tcPr>
            <w:tcW w:w="8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D51366"/>
            </w:tcBorders>
            <w:shd w:val="clear" w:color="auto" w:fill="auto"/>
            <w:noWrap/>
            <w:vAlign w:val="center"/>
          </w:tcPr>
          <w:p w14:paraId="7E0D1729" w14:textId="77777777" w:rsidR="009107BF" w:rsidRPr="009107BF" w:rsidRDefault="009107BF" w:rsidP="009107BF">
            <w:pPr>
              <w:jc w:val="center"/>
              <w:rPr>
                <w:rFonts w:ascii="Arial" w:hAnsi="Arial" w:cs="Arial"/>
                <w:b/>
                <w:color w:val="4C4E5D"/>
              </w:rPr>
            </w:pPr>
            <w:r>
              <w:rPr>
                <w:rFonts w:ascii="Arial" w:hAnsi="Arial" w:cs="Arial"/>
                <w:b/>
                <w:color w:val="4C4E5D"/>
              </w:rPr>
              <w:t>- 7,2%</w:t>
            </w:r>
          </w:p>
        </w:tc>
      </w:tr>
      <w:tr w:rsidR="009107BF" w:rsidRPr="009107BF" w14:paraId="60FE8052" w14:textId="77777777" w:rsidTr="009107BF">
        <w:trPr>
          <w:trHeight w:val="165"/>
        </w:trPr>
        <w:tc>
          <w:tcPr>
            <w:tcW w:w="1413" w:type="pct"/>
            <w:tcBorders>
              <w:top w:val="single" w:sz="4" w:space="0" w:color="000000" w:themeColor="text1"/>
              <w:left w:val="single" w:sz="4" w:space="0" w:color="D51366"/>
              <w:bottom w:val="single" w:sz="4" w:space="0" w:color="D51366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1A2E967" w14:textId="77777777" w:rsidR="009107BF" w:rsidRPr="009107BF" w:rsidRDefault="009107BF" w:rsidP="00792A87">
            <w:pPr>
              <w:spacing w:before="40" w:after="40"/>
              <w:rPr>
                <w:rFonts w:ascii="Verdana" w:hAnsi="Verdana" w:cs="Arial"/>
                <w:b/>
                <w:color w:val="4C4E5D"/>
              </w:rPr>
            </w:pPr>
            <w:r>
              <w:rPr>
                <w:rFonts w:ascii="Verdana" w:hAnsi="Verdana" w:cs="Arial"/>
                <w:b/>
                <w:color w:val="4C4E5D"/>
              </w:rPr>
              <w:t>Troisième trimestre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51366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1E0DE26" w14:textId="77777777" w:rsidR="009107BF" w:rsidRPr="009107BF" w:rsidRDefault="009107BF" w:rsidP="009107BF">
            <w:pPr>
              <w:jc w:val="center"/>
              <w:rPr>
                <w:rFonts w:ascii="Arial" w:hAnsi="Arial" w:cs="Arial"/>
                <w:b/>
                <w:color w:val="4C4E5D"/>
              </w:rPr>
            </w:pPr>
            <w:r w:rsidRPr="009107BF">
              <w:rPr>
                <w:rFonts w:ascii="Arial" w:hAnsi="Arial" w:cs="Arial"/>
                <w:b/>
                <w:color w:val="4C4E5D"/>
              </w:rPr>
              <w:t>48,4</w:t>
            </w:r>
          </w:p>
        </w:tc>
        <w:tc>
          <w:tcPr>
            <w:tcW w:w="8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51366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AB72775" w14:textId="77777777" w:rsidR="009107BF" w:rsidRPr="009107BF" w:rsidRDefault="009107BF" w:rsidP="009107BF">
            <w:pPr>
              <w:jc w:val="center"/>
              <w:rPr>
                <w:rFonts w:ascii="Arial" w:hAnsi="Arial" w:cs="Arial"/>
                <w:b/>
                <w:color w:val="4C4E5D"/>
              </w:rPr>
            </w:pPr>
            <w:r w:rsidRPr="009107BF">
              <w:rPr>
                <w:rFonts w:ascii="Arial" w:hAnsi="Arial" w:cs="Arial"/>
                <w:b/>
                <w:color w:val="4C4E5D"/>
              </w:rPr>
              <w:t>40,8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51366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F716A33" w14:textId="77777777" w:rsidR="009107BF" w:rsidRPr="009107BF" w:rsidRDefault="009107BF" w:rsidP="009107BF">
            <w:pPr>
              <w:jc w:val="center"/>
              <w:rPr>
                <w:rFonts w:ascii="Arial" w:hAnsi="Arial" w:cs="Arial"/>
                <w:b/>
                <w:color w:val="4C4E5D"/>
              </w:rPr>
            </w:pPr>
            <w:r>
              <w:rPr>
                <w:rFonts w:ascii="Arial" w:hAnsi="Arial" w:cs="Arial"/>
                <w:b/>
                <w:color w:val="4C4E5D"/>
              </w:rPr>
              <w:t>18,7</w:t>
            </w:r>
            <w:r w:rsidR="00C05CA5">
              <w:rPr>
                <w:rFonts w:ascii="Arial" w:hAnsi="Arial" w:cs="Arial"/>
                <w:b/>
                <w:color w:val="4C4E5D"/>
              </w:rPr>
              <w:t>%</w:t>
            </w:r>
          </w:p>
        </w:tc>
        <w:tc>
          <w:tcPr>
            <w:tcW w:w="8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D51366"/>
              <w:right w:val="single" w:sz="4" w:space="0" w:color="D51366"/>
            </w:tcBorders>
            <w:shd w:val="clear" w:color="auto" w:fill="auto"/>
            <w:noWrap/>
            <w:vAlign w:val="center"/>
          </w:tcPr>
          <w:p w14:paraId="3D04174C" w14:textId="77777777" w:rsidR="009107BF" w:rsidRPr="009107BF" w:rsidRDefault="00C05CA5" w:rsidP="009107BF">
            <w:pPr>
              <w:jc w:val="center"/>
              <w:rPr>
                <w:rFonts w:ascii="Arial" w:hAnsi="Arial" w:cs="Arial"/>
                <w:b/>
                <w:color w:val="4C4E5D"/>
              </w:rPr>
            </w:pPr>
            <w:r>
              <w:rPr>
                <w:rFonts w:ascii="Arial" w:hAnsi="Arial" w:cs="Arial"/>
                <w:b/>
                <w:color w:val="4C4E5D"/>
              </w:rPr>
              <w:t xml:space="preserve">  </w:t>
            </w:r>
            <w:r w:rsidR="009107BF">
              <w:rPr>
                <w:rFonts w:ascii="Arial" w:hAnsi="Arial" w:cs="Arial"/>
                <w:b/>
                <w:color w:val="4C4E5D"/>
              </w:rPr>
              <w:t>4,4%</w:t>
            </w:r>
          </w:p>
        </w:tc>
      </w:tr>
      <w:tr w:rsidR="00D651E8" w:rsidRPr="00616CFC" w14:paraId="0832A9BF" w14:textId="77777777" w:rsidTr="00D229BE">
        <w:trPr>
          <w:trHeight w:val="165"/>
        </w:trPr>
        <w:tc>
          <w:tcPr>
            <w:tcW w:w="1413" w:type="pct"/>
            <w:tcBorders>
              <w:top w:val="single" w:sz="4" w:space="0" w:color="D51366"/>
              <w:left w:val="single" w:sz="4" w:space="0" w:color="D51366"/>
              <w:bottom w:val="single" w:sz="4" w:space="0" w:color="D51366"/>
              <w:right w:val="single" w:sz="4" w:space="0" w:color="D51366"/>
            </w:tcBorders>
            <w:shd w:val="clear" w:color="auto" w:fill="D51366"/>
            <w:noWrap/>
            <w:vAlign w:val="center"/>
          </w:tcPr>
          <w:p w14:paraId="1E8DAF18" w14:textId="77777777" w:rsidR="00D651E8" w:rsidRPr="00616CFC" w:rsidRDefault="00D651E8" w:rsidP="00792A87">
            <w:pPr>
              <w:spacing w:before="40" w:after="40"/>
              <w:rPr>
                <w:rFonts w:ascii="Verdana" w:hAnsi="Verdana" w:cs="Arial"/>
                <w:b/>
                <w:color w:val="FFFFFF"/>
              </w:rPr>
            </w:pPr>
            <w:r w:rsidRPr="00616CFC">
              <w:rPr>
                <w:rFonts w:ascii="Verdana" w:hAnsi="Verdana" w:cs="Arial"/>
                <w:b/>
                <w:color w:val="FFFFFF"/>
              </w:rPr>
              <w:t>TOTAL</w:t>
            </w:r>
          </w:p>
        </w:tc>
        <w:tc>
          <w:tcPr>
            <w:tcW w:w="896" w:type="pct"/>
            <w:tcBorders>
              <w:top w:val="single" w:sz="4" w:space="0" w:color="D51366"/>
              <w:left w:val="single" w:sz="4" w:space="0" w:color="D51366"/>
              <w:bottom w:val="single" w:sz="4" w:space="0" w:color="D51366"/>
              <w:right w:val="single" w:sz="4" w:space="0" w:color="D51366"/>
            </w:tcBorders>
            <w:shd w:val="clear" w:color="auto" w:fill="D51366"/>
            <w:noWrap/>
            <w:vAlign w:val="center"/>
          </w:tcPr>
          <w:p w14:paraId="3C82F560" w14:textId="77777777" w:rsidR="00D651E8" w:rsidRPr="00C64C6B" w:rsidRDefault="009107BF" w:rsidP="00792A8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129,8</w:t>
            </w:r>
          </w:p>
        </w:tc>
        <w:tc>
          <w:tcPr>
            <w:tcW w:w="897" w:type="pct"/>
            <w:tcBorders>
              <w:top w:val="single" w:sz="4" w:space="0" w:color="D51366"/>
              <w:left w:val="single" w:sz="4" w:space="0" w:color="D51366"/>
              <w:bottom w:val="single" w:sz="4" w:space="0" w:color="D51366"/>
              <w:right w:val="single" w:sz="4" w:space="0" w:color="D51366"/>
            </w:tcBorders>
            <w:shd w:val="clear" w:color="auto" w:fill="D51366"/>
            <w:noWrap/>
            <w:vAlign w:val="center"/>
          </w:tcPr>
          <w:p w14:paraId="070C2C8F" w14:textId="77777777" w:rsidR="00D651E8" w:rsidRPr="00C64C6B" w:rsidRDefault="009107BF" w:rsidP="00C9325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127,1</w:t>
            </w:r>
          </w:p>
        </w:tc>
        <w:tc>
          <w:tcPr>
            <w:tcW w:w="896" w:type="pct"/>
            <w:tcBorders>
              <w:top w:val="single" w:sz="4" w:space="0" w:color="D51366"/>
              <w:left w:val="single" w:sz="4" w:space="0" w:color="D51366"/>
              <w:bottom w:val="single" w:sz="4" w:space="0" w:color="D51366"/>
              <w:right w:val="single" w:sz="4" w:space="0" w:color="D51366"/>
            </w:tcBorders>
            <w:shd w:val="clear" w:color="auto" w:fill="D51366"/>
            <w:noWrap/>
            <w:vAlign w:val="center"/>
          </w:tcPr>
          <w:p w14:paraId="791624C4" w14:textId="77777777" w:rsidR="00D651E8" w:rsidRPr="00D651E8" w:rsidRDefault="009107BF" w:rsidP="00ED41C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2,1</w:t>
            </w:r>
            <w:r w:rsidR="00D651E8" w:rsidRPr="00D651E8">
              <w:rPr>
                <w:rFonts w:ascii="Arial" w:hAnsi="Arial" w:cs="Arial"/>
                <w:b/>
                <w:color w:val="FFFFFF"/>
              </w:rPr>
              <w:t>%</w:t>
            </w:r>
          </w:p>
        </w:tc>
        <w:tc>
          <w:tcPr>
            <w:tcW w:w="897" w:type="pct"/>
            <w:tcBorders>
              <w:top w:val="single" w:sz="4" w:space="0" w:color="D51366"/>
              <w:left w:val="single" w:sz="4" w:space="0" w:color="D51366"/>
              <w:bottom w:val="single" w:sz="4" w:space="0" w:color="D51366"/>
              <w:right w:val="single" w:sz="4" w:space="0" w:color="D51366"/>
            </w:tcBorders>
            <w:shd w:val="clear" w:color="auto" w:fill="D51366"/>
            <w:noWrap/>
            <w:vAlign w:val="center"/>
          </w:tcPr>
          <w:p w14:paraId="618D6398" w14:textId="77777777" w:rsidR="00D651E8" w:rsidRPr="00D651E8" w:rsidRDefault="00ED41CE" w:rsidP="00ED41C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-</w:t>
            </w:r>
            <w:r w:rsidR="00E3568D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9107BF">
              <w:rPr>
                <w:rFonts w:ascii="Arial" w:hAnsi="Arial" w:cs="Arial"/>
                <w:b/>
                <w:color w:val="FFFFFF"/>
              </w:rPr>
              <w:t>2,6</w:t>
            </w:r>
            <w:r w:rsidR="00D651E8" w:rsidRPr="00D651E8">
              <w:rPr>
                <w:rFonts w:ascii="Arial" w:hAnsi="Arial" w:cs="Arial"/>
                <w:b/>
                <w:color w:val="FFFFFF"/>
              </w:rPr>
              <w:t>%</w:t>
            </w:r>
          </w:p>
        </w:tc>
      </w:tr>
    </w:tbl>
    <w:p w14:paraId="1AA6AA9A" w14:textId="77777777" w:rsidR="00616CFC" w:rsidRDefault="00616CFC" w:rsidP="00616CFC">
      <w:pPr>
        <w:pStyle w:val="Normalcentr"/>
        <w:ind w:left="0" w:right="0"/>
        <w:rPr>
          <w:rFonts w:ascii="Verdana" w:hAnsi="Verdana"/>
          <w:spacing w:val="-2"/>
          <w:sz w:val="20"/>
          <w:szCs w:val="20"/>
        </w:rPr>
      </w:pPr>
    </w:p>
    <w:p w14:paraId="06EBA1DA" w14:textId="77777777" w:rsidR="00BC1243" w:rsidRPr="00616CFC" w:rsidRDefault="00BC1243" w:rsidP="00616CFC">
      <w:pPr>
        <w:pStyle w:val="Normalcentr"/>
        <w:ind w:left="0" w:right="0"/>
        <w:rPr>
          <w:rFonts w:ascii="Verdana" w:hAnsi="Verdana"/>
          <w:spacing w:val="-2"/>
          <w:sz w:val="20"/>
          <w:szCs w:val="20"/>
        </w:rPr>
      </w:pPr>
    </w:p>
    <w:p w14:paraId="18ACDBC0" w14:textId="77777777" w:rsidR="00616CFC" w:rsidRPr="00616CFC" w:rsidRDefault="00616CFC" w:rsidP="00616CFC">
      <w:pPr>
        <w:pStyle w:val="Normalcentr"/>
        <w:ind w:left="0" w:right="0"/>
        <w:rPr>
          <w:rFonts w:ascii="Verdana" w:hAnsi="Verdana"/>
          <w:spacing w:val="-2"/>
          <w:sz w:val="20"/>
          <w:szCs w:val="20"/>
        </w:rPr>
      </w:pPr>
    </w:p>
    <w:tbl>
      <w:tblPr>
        <w:tblW w:w="0" w:type="auto"/>
        <w:tblBorders>
          <w:top w:val="single" w:sz="4" w:space="0" w:color="D51366"/>
          <w:left w:val="single" w:sz="4" w:space="0" w:color="D51366"/>
          <w:bottom w:val="single" w:sz="4" w:space="0" w:color="D51366"/>
          <w:right w:val="single" w:sz="4" w:space="0" w:color="D51366"/>
          <w:insideH w:val="single" w:sz="4" w:space="0" w:color="D51366"/>
          <w:insideV w:val="single" w:sz="4" w:space="0" w:color="D51366"/>
        </w:tblBorders>
        <w:tblLook w:val="04A0" w:firstRow="1" w:lastRow="0" w:firstColumn="1" w:lastColumn="0" w:noHBand="0" w:noVBand="1"/>
      </w:tblPr>
      <w:tblGrid>
        <w:gridCol w:w="9778"/>
      </w:tblGrid>
      <w:tr w:rsidR="00363F41" w:rsidRPr="00226F86" w14:paraId="03556CD1" w14:textId="77777777" w:rsidTr="00226F86">
        <w:tc>
          <w:tcPr>
            <w:tcW w:w="9778" w:type="dxa"/>
            <w:tcBorders>
              <w:top w:val="single" w:sz="12" w:space="0" w:color="4C4E5D"/>
              <w:left w:val="single" w:sz="12" w:space="0" w:color="4C4E5D"/>
              <w:bottom w:val="single" w:sz="12" w:space="0" w:color="4C4E5D"/>
              <w:right w:val="single" w:sz="12" w:space="0" w:color="4C4E5D"/>
            </w:tcBorders>
            <w:shd w:val="clear" w:color="auto" w:fill="auto"/>
          </w:tcPr>
          <w:p w14:paraId="3A770707" w14:textId="23422AD3" w:rsidR="00363F41" w:rsidRPr="00226F86" w:rsidRDefault="009107BF" w:rsidP="00226F86">
            <w:pPr>
              <w:pStyle w:val="Normalcentr"/>
              <w:ind w:left="0" w:right="0"/>
              <w:rPr>
                <w:rFonts w:ascii="Verdana" w:hAnsi="Verdana"/>
                <w:b/>
                <w:color w:val="D51366"/>
                <w:spacing w:val="-2"/>
                <w:sz w:val="20"/>
                <w:szCs w:val="20"/>
              </w:rPr>
            </w:pPr>
            <w:r>
              <w:rPr>
                <w:rFonts w:ascii="Verdana" w:hAnsi="Verdana"/>
                <w:b/>
                <w:color w:val="D51366"/>
                <w:spacing w:val="-2"/>
                <w:sz w:val="20"/>
                <w:szCs w:val="20"/>
              </w:rPr>
              <w:t>ACTIVITE AU COURS DU TROISIEME</w:t>
            </w:r>
            <w:r w:rsidR="007B35B6">
              <w:rPr>
                <w:rFonts w:ascii="Verdana" w:hAnsi="Verdana"/>
                <w:b/>
                <w:color w:val="D51366"/>
                <w:spacing w:val="-2"/>
                <w:sz w:val="20"/>
                <w:szCs w:val="20"/>
              </w:rPr>
              <w:t xml:space="preserve"> TRIMESTRE </w:t>
            </w:r>
            <w:r w:rsidR="00C05CA5">
              <w:rPr>
                <w:rFonts w:ascii="Verdana" w:hAnsi="Verdana"/>
                <w:b/>
                <w:color w:val="D51366"/>
                <w:spacing w:val="-2"/>
                <w:sz w:val="20"/>
                <w:szCs w:val="20"/>
              </w:rPr>
              <w:t>ET AU 30 SEPTEMBRE 2014</w:t>
            </w:r>
          </w:p>
        </w:tc>
      </w:tr>
    </w:tbl>
    <w:p w14:paraId="7F3C3629" w14:textId="77777777" w:rsidR="00616CFC" w:rsidRDefault="00616CFC" w:rsidP="00616CFC">
      <w:pPr>
        <w:pStyle w:val="Normalcentr"/>
        <w:ind w:left="0" w:right="0"/>
        <w:rPr>
          <w:rFonts w:ascii="Verdana" w:hAnsi="Verdana"/>
          <w:spacing w:val="-2"/>
          <w:sz w:val="20"/>
          <w:szCs w:val="20"/>
        </w:rPr>
      </w:pPr>
    </w:p>
    <w:p w14:paraId="43F6B17E" w14:textId="6E9B122F" w:rsidR="00C05CA5" w:rsidRPr="00383AA9" w:rsidRDefault="00C05CA5" w:rsidP="00C05CA5">
      <w:pPr>
        <w:pStyle w:val="Normalcentr"/>
        <w:ind w:left="0" w:right="0"/>
        <w:rPr>
          <w:rFonts w:ascii="Verdana" w:hAnsi="Verdana"/>
          <w:color w:val="4C4E53"/>
          <w:spacing w:val="-2"/>
          <w:sz w:val="20"/>
          <w:szCs w:val="20"/>
        </w:rPr>
      </w:pPr>
      <w:r w:rsidRPr="00383AA9">
        <w:rPr>
          <w:rFonts w:ascii="Verdana" w:hAnsi="Verdana"/>
          <w:color w:val="4C4E53"/>
          <w:spacing w:val="-2"/>
          <w:sz w:val="20"/>
          <w:szCs w:val="20"/>
        </w:rPr>
        <w:t>L’activité du 3</w:t>
      </w:r>
      <w:r w:rsidRPr="00383AA9">
        <w:rPr>
          <w:rFonts w:ascii="Verdana" w:hAnsi="Verdana"/>
          <w:color w:val="4C4E53"/>
          <w:spacing w:val="-2"/>
          <w:sz w:val="20"/>
          <w:szCs w:val="20"/>
          <w:vertAlign w:val="superscript"/>
        </w:rPr>
        <w:t>ème</w:t>
      </w:r>
      <w:r w:rsidRPr="00383AA9">
        <w:rPr>
          <w:rFonts w:ascii="Verdana" w:hAnsi="Verdana"/>
          <w:color w:val="4C4E53"/>
          <w:spacing w:val="-2"/>
          <w:sz w:val="20"/>
          <w:szCs w:val="20"/>
        </w:rPr>
        <w:t xml:space="preserve"> trimestre 2014 est en progression de 18,7% par rapport au 3</w:t>
      </w:r>
      <w:r w:rsidRPr="00383AA9">
        <w:rPr>
          <w:rFonts w:ascii="Verdana" w:hAnsi="Verdana"/>
          <w:color w:val="4C4E53"/>
          <w:spacing w:val="-2"/>
          <w:sz w:val="20"/>
          <w:szCs w:val="20"/>
          <w:vertAlign w:val="superscript"/>
        </w:rPr>
        <w:t>ème</w:t>
      </w:r>
      <w:r w:rsidRPr="00383AA9">
        <w:rPr>
          <w:rFonts w:ascii="Verdana" w:hAnsi="Verdana"/>
          <w:color w:val="4C4E53"/>
          <w:spacing w:val="-2"/>
          <w:sz w:val="20"/>
          <w:szCs w:val="20"/>
        </w:rPr>
        <w:t xml:space="preserve"> trimestre 2013 : le chiffre d’affaires </w:t>
      </w:r>
      <w:r w:rsidR="00383AA9">
        <w:rPr>
          <w:rFonts w:ascii="Verdana" w:hAnsi="Verdana"/>
          <w:color w:val="4C4E53"/>
          <w:spacing w:val="-2"/>
          <w:sz w:val="20"/>
          <w:szCs w:val="20"/>
        </w:rPr>
        <w:t>s’établit à</w:t>
      </w:r>
      <w:r w:rsidRPr="00383AA9">
        <w:rPr>
          <w:rFonts w:ascii="Verdana" w:hAnsi="Verdana"/>
          <w:color w:val="4C4E53"/>
          <w:spacing w:val="-2"/>
          <w:sz w:val="20"/>
          <w:szCs w:val="20"/>
        </w:rPr>
        <w:t xml:space="preserve"> 48,4 M€ contre 40,8 M€ l’année précédente. A périmètre comparable, l’activité progresse de </w:t>
      </w:r>
      <w:r w:rsidR="00A13A98" w:rsidRPr="00383AA9">
        <w:rPr>
          <w:rFonts w:ascii="Verdana" w:hAnsi="Verdana"/>
          <w:color w:val="4C4E53"/>
          <w:spacing w:val="-2"/>
          <w:sz w:val="20"/>
          <w:szCs w:val="20"/>
        </w:rPr>
        <w:t>4,4</w:t>
      </w:r>
      <w:r w:rsidRPr="00383AA9">
        <w:rPr>
          <w:rFonts w:ascii="Verdana" w:hAnsi="Verdana"/>
          <w:color w:val="4C4E53"/>
          <w:spacing w:val="-2"/>
          <w:sz w:val="20"/>
          <w:szCs w:val="20"/>
        </w:rPr>
        <w:t>%. La différence entre le chiffre d’affaires publié et le chiffre d’affaires compar</w:t>
      </w:r>
      <w:r w:rsidR="00E92C32" w:rsidRPr="00383AA9">
        <w:rPr>
          <w:rFonts w:ascii="Verdana" w:hAnsi="Verdana"/>
          <w:color w:val="4C4E53"/>
          <w:spacing w:val="-2"/>
          <w:sz w:val="20"/>
          <w:szCs w:val="20"/>
        </w:rPr>
        <w:t>able est liée à l’activité des</w:t>
      </w:r>
      <w:r w:rsidRPr="00383AA9">
        <w:rPr>
          <w:rFonts w:ascii="Verdana" w:hAnsi="Verdana"/>
          <w:color w:val="4C4E53"/>
          <w:spacing w:val="-2"/>
          <w:sz w:val="20"/>
          <w:szCs w:val="20"/>
        </w:rPr>
        <w:t xml:space="preserve"> société</w:t>
      </w:r>
      <w:r w:rsidR="00E92C32" w:rsidRPr="00383AA9">
        <w:rPr>
          <w:rFonts w:ascii="Verdana" w:hAnsi="Verdana"/>
          <w:color w:val="4C4E53"/>
          <w:spacing w:val="-2"/>
          <w:sz w:val="20"/>
          <w:szCs w:val="20"/>
        </w:rPr>
        <w:t>s HMS Technologies constituée en août 2013 et UTRAM</w:t>
      </w:r>
      <w:r w:rsidRPr="00383AA9">
        <w:rPr>
          <w:rFonts w:ascii="Verdana" w:hAnsi="Verdana"/>
          <w:color w:val="4C4E53"/>
          <w:spacing w:val="-2"/>
          <w:sz w:val="20"/>
          <w:szCs w:val="20"/>
        </w:rPr>
        <w:t xml:space="preserve"> </w:t>
      </w:r>
      <w:r w:rsidR="00E92C32" w:rsidRPr="00383AA9">
        <w:rPr>
          <w:rFonts w:ascii="Verdana" w:hAnsi="Verdana"/>
          <w:color w:val="4C4E53"/>
          <w:spacing w:val="-2"/>
          <w:sz w:val="20"/>
          <w:szCs w:val="20"/>
        </w:rPr>
        <w:t>dont l’acquisition date du 25 juin 2014</w:t>
      </w:r>
      <w:r w:rsidR="00383AA9">
        <w:rPr>
          <w:rFonts w:ascii="Verdana" w:hAnsi="Verdana"/>
          <w:color w:val="4C4E53"/>
          <w:spacing w:val="-2"/>
          <w:sz w:val="20"/>
          <w:szCs w:val="20"/>
        </w:rPr>
        <w:t>.</w:t>
      </w:r>
    </w:p>
    <w:p w14:paraId="6A03FD39" w14:textId="77777777" w:rsidR="00C05CA5" w:rsidRPr="00383AA9" w:rsidRDefault="00C05CA5" w:rsidP="00C05CA5">
      <w:pPr>
        <w:pStyle w:val="Normalcentr"/>
        <w:ind w:left="0" w:right="0"/>
        <w:rPr>
          <w:rFonts w:ascii="Verdana" w:hAnsi="Verdana"/>
          <w:color w:val="4C4E53"/>
          <w:spacing w:val="-2"/>
          <w:sz w:val="20"/>
          <w:szCs w:val="20"/>
        </w:rPr>
      </w:pPr>
    </w:p>
    <w:p w14:paraId="3616545E" w14:textId="77777777" w:rsidR="00C05CA5" w:rsidRPr="00383AA9" w:rsidRDefault="00C05CA5" w:rsidP="00C05CA5">
      <w:pPr>
        <w:pStyle w:val="Normalcentr"/>
        <w:ind w:left="0" w:right="0"/>
        <w:rPr>
          <w:rFonts w:ascii="Verdana" w:hAnsi="Verdana"/>
          <w:color w:val="4C4E53"/>
          <w:spacing w:val="-2"/>
          <w:sz w:val="20"/>
          <w:szCs w:val="20"/>
        </w:rPr>
      </w:pPr>
      <w:r w:rsidRPr="00383AA9">
        <w:rPr>
          <w:rFonts w:ascii="Verdana" w:hAnsi="Verdana"/>
          <w:color w:val="4C4E53"/>
          <w:spacing w:val="-2"/>
          <w:sz w:val="20"/>
          <w:szCs w:val="20"/>
        </w:rPr>
        <w:t>Le chiffre</w:t>
      </w:r>
      <w:r w:rsidR="00FC2D2C" w:rsidRPr="00383AA9">
        <w:rPr>
          <w:rFonts w:ascii="Verdana" w:hAnsi="Verdana"/>
          <w:color w:val="4C4E53"/>
          <w:spacing w:val="-2"/>
          <w:sz w:val="20"/>
          <w:szCs w:val="20"/>
        </w:rPr>
        <w:t xml:space="preserve"> d’affaires au 30 septembre 2014</w:t>
      </w:r>
      <w:r w:rsidRPr="00383AA9">
        <w:rPr>
          <w:rFonts w:ascii="Verdana" w:hAnsi="Verdana"/>
          <w:color w:val="4C4E53"/>
          <w:spacing w:val="-2"/>
          <w:sz w:val="20"/>
          <w:szCs w:val="20"/>
        </w:rPr>
        <w:t xml:space="preserve"> s’établit à </w:t>
      </w:r>
      <w:r w:rsidR="00FC2D2C" w:rsidRPr="00383AA9">
        <w:rPr>
          <w:rFonts w:ascii="Verdana" w:hAnsi="Verdana"/>
          <w:color w:val="4C4E53"/>
          <w:spacing w:val="-2"/>
          <w:sz w:val="20"/>
          <w:szCs w:val="20"/>
        </w:rPr>
        <w:t>129,8</w:t>
      </w:r>
      <w:r w:rsidRPr="00383AA9">
        <w:rPr>
          <w:rFonts w:ascii="Verdana" w:hAnsi="Verdana"/>
          <w:color w:val="4C4E53"/>
          <w:spacing w:val="-2"/>
          <w:sz w:val="20"/>
          <w:szCs w:val="20"/>
        </w:rPr>
        <w:t xml:space="preserve"> M€, contre </w:t>
      </w:r>
      <w:r w:rsidR="00FC2D2C" w:rsidRPr="00383AA9">
        <w:rPr>
          <w:rFonts w:ascii="Verdana" w:hAnsi="Verdana"/>
          <w:color w:val="4C4E53"/>
          <w:spacing w:val="-2"/>
          <w:sz w:val="20"/>
          <w:szCs w:val="20"/>
        </w:rPr>
        <w:t>127,1 M€ au 30 septembre 2013</w:t>
      </w:r>
      <w:r w:rsidRPr="00383AA9">
        <w:rPr>
          <w:rFonts w:ascii="Verdana" w:hAnsi="Verdana"/>
          <w:color w:val="4C4E53"/>
          <w:spacing w:val="-2"/>
          <w:sz w:val="20"/>
          <w:szCs w:val="20"/>
        </w:rPr>
        <w:t xml:space="preserve">, soit une </w:t>
      </w:r>
      <w:r w:rsidR="00FC2D2C" w:rsidRPr="00383AA9">
        <w:rPr>
          <w:rFonts w:ascii="Verdana" w:hAnsi="Verdana"/>
          <w:color w:val="4C4E53"/>
          <w:spacing w:val="-2"/>
          <w:sz w:val="20"/>
          <w:szCs w:val="20"/>
        </w:rPr>
        <w:t>hausse de 2,1</w:t>
      </w:r>
      <w:r w:rsidRPr="00383AA9">
        <w:rPr>
          <w:rFonts w:ascii="Verdana" w:hAnsi="Verdana"/>
          <w:color w:val="4C4E53"/>
          <w:spacing w:val="-2"/>
          <w:sz w:val="20"/>
          <w:szCs w:val="20"/>
        </w:rPr>
        <w:t>%. A périmètre comparable, l</w:t>
      </w:r>
      <w:r w:rsidR="00FC2D2C" w:rsidRPr="00383AA9">
        <w:rPr>
          <w:rFonts w:ascii="Verdana" w:hAnsi="Verdana"/>
          <w:color w:val="4C4E53"/>
          <w:spacing w:val="-2"/>
          <w:sz w:val="20"/>
          <w:szCs w:val="20"/>
        </w:rPr>
        <w:t>’activité est en retrait de 2,6</w:t>
      </w:r>
      <w:r w:rsidRPr="00383AA9">
        <w:rPr>
          <w:rFonts w:ascii="Verdana" w:hAnsi="Verdana"/>
          <w:color w:val="4C4E53"/>
          <w:spacing w:val="-2"/>
          <w:sz w:val="20"/>
          <w:szCs w:val="20"/>
        </w:rPr>
        <w:t xml:space="preserve">%. </w:t>
      </w:r>
    </w:p>
    <w:p w14:paraId="11AF59C4" w14:textId="77777777" w:rsidR="00C05CA5" w:rsidRPr="00383AA9" w:rsidRDefault="00C05CA5" w:rsidP="00C05CA5">
      <w:pPr>
        <w:pStyle w:val="Normalcentr"/>
        <w:ind w:left="0" w:right="0"/>
        <w:rPr>
          <w:rFonts w:ascii="Verdana" w:hAnsi="Verdana"/>
          <w:color w:val="4C4E53"/>
          <w:spacing w:val="-2"/>
          <w:sz w:val="20"/>
          <w:szCs w:val="20"/>
        </w:rPr>
      </w:pPr>
    </w:p>
    <w:p w14:paraId="3EBB29EB" w14:textId="00E3F0DC" w:rsidR="00B60660" w:rsidRDefault="00B60660" w:rsidP="00C05CA5">
      <w:pPr>
        <w:pStyle w:val="Normalcentr"/>
        <w:ind w:left="0" w:right="0"/>
        <w:rPr>
          <w:rFonts w:ascii="Verdana" w:hAnsi="Verdana"/>
          <w:color w:val="4C4E53"/>
          <w:spacing w:val="-2"/>
          <w:sz w:val="20"/>
          <w:szCs w:val="20"/>
        </w:rPr>
      </w:pPr>
      <w:r w:rsidRPr="00383AA9">
        <w:rPr>
          <w:rFonts w:ascii="Verdana" w:hAnsi="Verdana"/>
          <w:color w:val="4C4E53"/>
          <w:spacing w:val="-2"/>
          <w:sz w:val="20"/>
          <w:szCs w:val="20"/>
        </w:rPr>
        <w:t>Le chiffre d’affaires du secteur « Broadcast » représente 12 M€ au 30 septembre 2014 contre 15,7 M€ au 30 septembre 2013, soit une baisse de 23,5% à périmètre</w:t>
      </w:r>
      <w:r w:rsidRPr="00A75111">
        <w:rPr>
          <w:rFonts w:ascii="Verdana" w:hAnsi="Verdana"/>
          <w:color w:val="4C4E53"/>
          <w:spacing w:val="-2"/>
          <w:sz w:val="20"/>
          <w:szCs w:val="20"/>
        </w:rPr>
        <w:t>s publié et une baisse de 20,53% à périmètre  comparable. Le chiffre d’affaires du 3</w:t>
      </w:r>
      <w:r w:rsidRPr="00A75111">
        <w:rPr>
          <w:rFonts w:ascii="Verdana" w:hAnsi="Verdana"/>
          <w:color w:val="4C4E53"/>
          <w:spacing w:val="-2"/>
          <w:sz w:val="20"/>
          <w:szCs w:val="20"/>
          <w:vertAlign w:val="superscript"/>
        </w:rPr>
        <w:t>ème</w:t>
      </w:r>
      <w:r w:rsidRPr="00A75111">
        <w:rPr>
          <w:rFonts w:ascii="Verdana" w:hAnsi="Verdana"/>
          <w:color w:val="4C4E53"/>
          <w:spacing w:val="-2"/>
          <w:sz w:val="20"/>
          <w:szCs w:val="20"/>
        </w:rPr>
        <w:t xml:space="preserve"> trimestre 2014 est de 5,2 M€ contre 4,3 M€ l’année précédente soit une augmentation d’activité de 21,4 % à périmètre publié par rapport au 3</w:t>
      </w:r>
      <w:r w:rsidRPr="00A75111">
        <w:rPr>
          <w:rFonts w:ascii="Verdana" w:hAnsi="Verdana"/>
          <w:color w:val="4C4E53"/>
          <w:spacing w:val="-2"/>
          <w:sz w:val="20"/>
          <w:szCs w:val="20"/>
          <w:vertAlign w:val="superscript"/>
        </w:rPr>
        <w:t>ème</w:t>
      </w:r>
      <w:r w:rsidRPr="00A75111">
        <w:rPr>
          <w:rFonts w:ascii="Verdana" w:hAnsi="Verdana"/>
          <w:color w:val="4C4E53"/>
          <w:spacing w:val="-2"/>
          <w:sz w:val="20"/>
          <w:szCs w:val="20"/>
        </w:rPr>
        <w:t xml:space="preserve"> trimestre 2013 et 26% à</w:t>
      </w:r>
      <w:r w:rsidRPr="00383AA9">
        <w:rPr>
          <w:rFonts w:ascii="Verdana" w:hAnsi="Verdana"/>
          <w:color w:val="4C4E53"/>
          <w:spacing w:val="-2"/>
          <w:sz w:val="20"/>
          <w:szCs w:val="20"/>
        </w:rPr>
        <w:t xml:space="preserve"> périmètre comparable. La différence entre le périmètre publié et comparable est lié au transfert</w:t>
      </w:r>
      <w:r>
        <w:rPr>
          <w:rFonts w:ascii="Verdana" w:hAnsi="Verdana"/>
          <w:color w:val="4C4E53"/>
          <w:spacing w:val="-2"/>
          <w:sz w:val="20"/>
          <w:szCs w:val="20"/>
        </w:rPr>
        <w:t xml:space="preserve"> </w:t>
      </w:r>
      <w:r w:rsidRPr="00001B17">
        <w:rPr>
          <w:rFonts w:ascii="Verdana" w:hAnsi="Verdana"/>
          <w:color w:val="4C4E53"/>
          <w:spacing w:val="-2"/>
          <w:sz w:val="20"/>
          <w:szCs w:val="20"/>
        </w:rPr>
        <w:t>de la totalité du capital de VIDELIO-</w:t>
      </w:r>
      <w:proofErr w:type="spellStart"/>
      <w:r w:rsidRPr="00001B17">
        <w:rPr>
          <w:rFonts w:ascii="Verdana" w:hAnsi="Verdana"/>
          <w:color w:val="4C4E53"/>
          <w:spacing w:val="-2"/>
          <w:sz w:val="20"/>
          <w:szCs w:val="20"/>
        </w:rPr>
        <w:t>B</w:t>
      </w:r>
      <w:r>
        <w:rPr>
          <w:rFonts w:ascii="Verdana" w:hAnsi="Verdana"/>
          <w:color w:val="4C4E53"/>
          <w:spacing w:val="-2"/>
          <w:sz w:val="20"/>
          <w:szCs w:val="20"/>
        </w:rPr>
        <w:t>é</w:t>
      </w:r>
      <w:r w:rsidRPr="00001B17">
        <w:rPr>
          <w:rFonts w:ascii="Verdana" w:hAnsi="Verdana"/>
          <w:color w:val="4C4E53"/>
          <w:spacing w:val="-2"/>
          <w:sz w:val="20"/>
          <w:szCs w:val="20"/>
        </w:rPr>
        <w:t>n</w:t>
      </w:r>
      <w:r>
        <w:rPr>
          <w:rFonts w:ascii="Verdana" w:hAnsi="Verdana"/>
          <w:color w:val="4C4E53"/>
          <w:spacing w:val="-2"/>
          <w:sz w:val="20"/>
          <w:szCs w:val="20"/>
        </w:rPr>
        <w:t>é</w:t>
      </w:r>
      <w:r w:rsidRPr="00001B17">
        <w:rPr>
          <w:rFonts w:ascii="Verdana" w:hAnsi="Verdana"/>
          <w:color w:val="4C4E53"/>
          <w:spacing w:val="-2"/>
          <w:sz w:val="20"/>
          <w:szCs w:val="20"/>
        </w:rPr>
        <w:t>lux</w:t>
      </w:r>
      <w:proofErr w:type="spellEnd"/>
      <w:r w:rsidRPr="00001B17">
        <w:rPr>
          <w:rFonts w:ascii="Verdana" w:hAnsi="Verdana"/>
          <w:color w:val="4C4E53"/>
          <w:spacing w:val="-2"/>
          <w:sz w:val="20"/>
          <w:szCs w:val="20"/>
        </w:rPr>
        <w:t xml:space="preserve"> apparte</w:t>
      </w:r>
      <w:r>
        <w:rPr>
          <w:rFonts w:ascii="Verdana" w:hAnsi="Verdana"/>
          <w:color w:val="4C4E53"/>
          <w:spacing w:val="-2"/>
          <w:sz w:val="20"/>
          <w:szCs w:val="20"/>
        </w:rPr>
        <w:t>na</w:t>
      </w:r>
      <w:r w:rsidRPr="00001B17">
        <w:rPr>
          <w:rFonts w:ascii="Verdana" w:hAnsi="Verdana"/>
          <w:color w:val="4C4E53"/>
          <w:spacing w:val="-2"/>
          <w:sz w:val="20"/>
          <w:szCs w:val="20"/>
        </w:rPr>
        <w:t>nt à VIDELIO-</w:t>
      </w:r>
      <w:proofErr w:type="spellStart"/>
      <w:r w:rsidRPr="00001B17">
        <w:rPr>
          <w:rFonts w:ascii="Verdana" w:hAnsi="Verdana"/>
          <w:color w:val="4C4E53"/>
          <w:spacing w:val="-2"/>
          <w:sz w:val="20"/>
          <w:szCs w:val="20"/>
        </w:rPr>
        <w:t>Preview</w:t>
      </w:r>
      <w:proofErr w:type="spellEnd"/>
      <w:r w:rsidRPr="00001B17">
        <w:rPr>
          <w:rFonts w:ascii="Verdana" w:hAnsi="Verdana"/>
          <w:color w:val="4C4E53"/>
          <w:spacing w:val="-2"/>
          <w:sz w:val="20"/>
          <w:szCs w:val="20"/>
        </w:rPr>
        <w:t xml:space="preserve"> à VIDELIO intervenu le 2 janvier 2014</w:t>
      </w:r>
      <w:r w:rsidRPr="00D221E3">
        <w:rPr>
          <w:rFonts w:ascii="Verdana" w:hAnsi="Verdana"/>
          <w:color w:val="4C4E53"/>
          <w:spacing w:val="-2"/>
          <w:sz w:val="20"/>
          <w:szCs w:val="20"/>
        </w:rPr>
        <w:t>. Le chiffre d’affaires de VIDELIO-</w:t>
      </w:r>
      <w:proofErr w:type="spellStart"/>
      <w:r w:rsidRPr="00D221E3">
        <w:rPr>
          <w:rFonts w:ascii="Verdana" w:hAnsi="Verdana"/>
          <w:color w:val="4C4E53"/>
          <w:spacing w:val="-2"/>
          <w:sz w:val="20"/>
          <w:szCs w:val="20"/>
        </w:rPr>
        <w:t>Bénélux</w:t>
      </w:r>
      <w:proofErr w:type="spellEnd"/>
      <w:r w:rsidRPr="00D221E3">
        <w:rPr>
          <w:rFonts w:ascii="Verdana" w:hAnsi="Verdana"/>
          <w:color w:val="4C4E53"/>
          <w:spacing w:val="-2"/>
          <w:sz w:val="20"/>
          <w:szCs w:val="20"/>
        </w:rPr>
        <w:t xml:space="preserve"> représentait</w:t>
      </w:r>
      <w:r>
        <w:rPr>
          <w:rFonts w:ascii="Verdana" w:hAnsi="Verdana"/>
          <w:color w:val="4C4E53"/>
          <w:spacing w:val="-2"/>
          <w:sz w:val="20"/>
          <w:szCs w:val="20"/>
        </w:rPr>
        <w:t xml:space="preserve"> 474 K€ au 30 septembre 2013.</w:t>
      </w:r>
      <w:bookmarkStart w:id="0" w:name="_GoBack"/>
      <w:bookmarkEnd w:id="0"/>
    </w:p>
    <w:p w14:paraId="2D43E4AE" w14:textId="77777777" w:rsidR="00B60660" w:rsidRDefault="00B60660" w:rsidP="00C05CA5">
      <w:pPr>
        <w:pStyle w:val="Normalcentr"/>
        <w:ind w:left="0" w:right="0"/>
        <w:rPr>
          <w:rFonts w:ascii="Verdana" w:hAnsi="Verdana"/>
          <w:color w:val="4C4E53"/>
          <w:spacing w:val="-2"/>
          <w:sz w:val="20"/>
          <w:szCs w:val="20"/>
        </w:rPr>
      </w:pPr>
    </w:p>
    <w:p w14:paraId="0F136FD9" w14:textId="2139CD30" w:rsidR="00C05CA5" w:rsidRPr="00383AA9" w:rsidRDefault="00C05CA5" w:rsidP="00C05CA5">
      <w:pPr>
        <w:pStyle w:val="Normalcentr"/>
        <w:ind w:left="0" w:right="0"/>
        <w:rPr>
          <w:rFonts w:ascii="Verdana" w:hAnsi="Verdana"/>
          <w:color w:val="4C4E53"/>
          <w:spacing w:val="-2"/>
          <w:sz w:val="20"/>
          <w:szCs w:val="20"/>
        </w:rPr>
      </w:pPr>
      <w:r w:rsidRPr="00383AA9">
        <w:rPr>
          <w:rFonts w:ascii="Verdana" w:hAnsi="Verdana"/>
          <w:color w:val="4C4E53"/>
          <w:spacing w:val="-2"/>
          <w:sz w:val="20"/>
          <w:szCs w:val="20"/>
        </w:rPr>
        <w:t>Le chiffre d’affaires du secteur « </w:t>
      </w:r>
      <w:proofErr w:type="spellStart"/>
      <w:r w:rsidRPr="00383AA9">
        <w:rPr>
          <w:rFonts w:ascii="Verdana" w:hAnsi="Verdana"/>
          <w:color w:val="4C4E53"/>
          <w:spacing w:val="-2"/>
          <w:sz w:val="20"/>
          <w:szCs w:val="20"/>
        </w:rPr>
        <w:t>Corporate</w:t>
      </w:r>
      <w:proofErr w:type="spellEnd"/>
      <w:r w:rsidRPr="00383AA9">
        <w:rPr>
          <w:rFonts w:ascii="Verdana" w:hAnsi="Verdana"/>
          <w:color w:val="4C4E53"/>
          <w:spacing w:val="-2"/>
          <w:sz w:val="20"/>
          <w:szCs w:val="20"/>
        </w:rPr>
        <w:t xml:space="preserve"> » </w:t>
      </w:r>
      <w:r w:rsidR="00A75111">
        <w:rPr>
          <w:rFonts w:ascii="Verdana" w:hAnsi="Verdana"/>
          <w:color w:val="4C4E53"/>
          <w:spacing w:val="-2"/>
          <w:sz w:val="20"/>
          <w:szCs w:val="20"/>
        </w:rPr>
        <w:t xml:space="preserve">est stable à 92,0 </w:t>
      </w:r>
      <w:r w:rsidR="00FC2D2C" w:rsidRPr="00383AA9">
        <w:rPr>
          <w:rFonts w:ascii="Verdana" w:hAnsi="Verdana"/>
          <w:color w:val="4C4E53"/>
          <w:spacing w:val="-2"/>
          <w:sz w:val="20"/>
          <w:szCs w:val="20"/>
        </w:rPr>
        <w:t>M€ au 30 septembre 2014</w:t>
      </w:r>
      <w:r w:rsidRPr="00383AA9">
        <w:rPr>
          <w:rFonts w:ascii="Verdana" w:hAnsi="Verdana"/>
          <w:color w:val="4C4E53"/>
          <w:spacing w:val="-2"/>
          <w:sz w:val="20"/>
          <w:szCs w:val="20"/>
        </w:rPr>
        <w:t xml:space="preserve"> </w:t>
      </w:r>
      <w:r w:rsidR="00FC2D2C" w:rsidRPr="00383AA9">
        <w:rPr>
          <w:rFonts w:ascii="Verdana" w:hAnsi="Verdana"/>
          <w:color w:val="4C4E53"/>
          <w:spacing w:val="-2"/>
          <w:sz w:val="20"/>
          <w:szCs w:val="20"/>
        </w:rPr>
        <w:t>et au 30 septembre 2013</w:t>
      </w:r>
      <w:r w:rsidRPr="00383AA9">
        <w:rPr>
          <w:rFonts w:ascii="Verdana" w:hAnsi="Verdana"/>
          <w:color w:val="4C4E53"/>
          <w:spacing w:val="-2"/>
          <w:sz w:val="20"/>
          <w:szCs w:val="20"/>
        </w:rPr>
        <w:t>. A périmètre compara</w:t>
      </w:r>
      <w:r w:rsidR="00FC2D2C" w:rsidRPr="00383AA9">
        <w:rPr>
          <w:rFonts w:ascii="Verdana" w:hAnsi="Verdana"/>
          <w:color w:val="4C4E53"/>
          <w:spacing w:val="-2"/>
          <w:sz w:val="20"/>
          <w:szCs w:val="20"/>
        </w:rPr>
        <w:t xml:space="preserve">ble, en retraitant l’activité d’UTRAM </w:t>
      </w:r>
      <w:r w:rsidRPr="00383AA9">
        <w:rPr>
          <w:rFonts w:ascii="Verdana" w:hAnsi="Verdana"/>
          <w:color w:val="4C4E53"/>
          <w:spacing w:val="-2"/>
          <w:sz w:val="20"/>
          <w:szCs w:val="20"/>
        </w:rPr>
        <w:t>sur la période, le chiffre d’affaires diminue</w:t>
      </w:r>
      <w:r w:rsidR="00FC2D2C" w:rsidRPr="00383AA9">
        <w:rPr>
          <w:rFonts w:ascii="Verdana" w:hAnsi="Verdana"/>
          <w:color w:val="4C4E53"/>
          <w:spacing w:val="-2"/>
          <w:sz w:val="20"/>
          <w:szCs w:val="20"/>
        </w:rPr>
        <w:t xml:space="preserve"> de 5</w:t>
      </w:r>
      <w:r w:rsidRPr="00383AA9">
        <w:rPr>
          <w:rFonts w:ascii="Verdana" w:hAnsi="Verdana"/>
          <w:color w:val="4C4E53"/>
          <w:spacing w:val="-2"/>
          <w:sz w:val="20"/>
          <w:szCs w:val="20"/>
        </w:rPr>
        <w:t>,</w:t>
      </w:r>
      <w:r w:rsidR="00FC2D2C" w:rsidRPr="00383AA9">
        <w:rPr>
          <w:rFonts w:ascii="Verdana" w:hAnsi="Verdana"/>
          <w:color w:val="4C4E53"/>
          <w:spacing w:val="-2"/>
          <w:sz w:val="20"/>
          <w:szCs w:val="20"/>
        </w:rPr>
        <w:t>6%. Est principalement concernée</w:t>
      </w:r>
      <w:r w:rsidRPr="00383AA9">
        <w:rPr>
          <w:rFonts w:ascii="Verdana" w:hAnsi="Verdana"/>
          <w:color w:val="4C4E53"/>
          <w:spacing w:val="-2"/>
          <w:sz w:val="20"/>
          <w:szCs w:val="20"/>
        </w:rPr>
        <w:t xml:space="preserve"> l’activité </w:t>
      </w:r>
      <w:r w:rsidR="00FC2D2C" w:rsidRPr="00383AA9">
        <w:rPr>
          <w:rFonts w:ascii="Verdana" w:hAnsi="Verdana"/>
          <w:color w:val="4C4E53"/>
          <w:spacing w:val="-2"/>
          <w:sz w:val="20"/>
          <w:szCs w:val="20"/>
        </w:rPr>
        <w:t>de VIDELIO</w:t>
      </w:r>
      <w:r w:rsidR="00A13A98" w:rsidRPr="00383AA9">
        <w:rPr>
          <w:rFonts w:ascii="Verdana" w:hAnsi="Verdana"/>
          <w:color w:val="4C4E53"/>
          <w:spacing w:val="-2"/>
          <w:sz w:val="20"/>
          <w:szCs w:val="20"/>
        </w:rPr>
        <w:t> </w:t>
      </w:r>
      <w:r w:rsidR="00FC2D2C" w:rsidRPr="00383AA9">
        <w:rPr>
          <w:rFonts w:ascii="Verdana" w:hAnsi="Verdana"/>
          <w:color w:val="4C4E53"/>
          <w:spacing w:val="-2"/>
          <w:sz w:val="20"/>
          <w:szCs w:val="20"/>
        </w:rPr>
        <w:t>- IEC</w:t>
      </w:r>
      <w:r w:rsidRPr="00383AA9">
        <w:rPr>
          <w:rFonts w:ascii="Verdana" w:hAnsi="Verdana"/>
          <w:color w:val="4C4E53"/>
          <w:spacing w:val="-2"/>
          <w:sz w:val="20"/>
          <w:szCs w:val="20"/>
        </w:rPr>
        <w:t xml:space="preserve">, qui </w:t>
      </w:r>
      <w:r w:rsidR="00FC2D2C" w:rsidRPr="00383AA9">
        <w:rPr>
          <w:rFonts w:ascii="Verdana" w:hAnsi="Verdana"/>
          <w:color w:val="4C4E53"/>
          <w:spacing w:val="-2"/>
          <w:sz w:val="20"/>
          <w:szCs w:val="20"/>
        </w:rPr>
        <w:t>réalise un chiffre d’affaires cumulé de 53,4 M€ au 30 septembre 2014 contre</w:t>
      </w:r>
      <w:r w:rsidRPr="00383AA9">
        <w:rPr>
          <w:rFonts w:ascii="Verdana" w:hAnsi="Verdana"/>
          <w:color w:val="4C4E53"/>
          <w:spacing w:val="-2"/>
          <w:sz w:val="20"/>
          <w:szCs w:val="20"/>
        </w:rPr>
        <w:t xml:space="preserve"> </w:t>
      </w:r>
      <w:r w:rsidR="00FC2D2C" w:rsidRPr="00383AA9">
        <w:rPr>
          <w:rFonts w:ascii="Verdana" w:hAnsi="Verdana"/>
          <w:color w:val="4C4E53"/>
          <w:spacing w:val="-2"/>
          <w:sz w:val="20"/>
          <w:szCs w:val="20"/>
        </w:rPr>
        <w:t xml:space="preserve">61,1 M€ au 30 septembre 2013. </w:t>
      </w:r>
      <w:r w:rsidRPr="00383AA9">
        <w:rPr>
          <w:rFonts w:ascii="Verdana" w:hAnsi="Verdana"/>
          <w:color w:val="4C4E53"/>
          <w:spacing w:val="-2"/>
          <w:sz w:val="20"/>
          <w:szCs w:val="20"/>
        </w:rPr>
        <w:t xml:space="preserve">Le chiffre </w:t>
      </w:r>
      <w:r w:rsidRPr="00A75111">
        <w:rPr>
          <w:rFonts w:ascii="Verdana" w:hAnsi="Verdana"/>
          <w:color w:val="4C4E53"/>
          <w:spacing w:val="-2"/>
          <w:sz w:val="20"/>
          <w:szCs w:val="20"/>
        </w:rPr>
        <w:t>d’affaires du 3</w:t>
      </w:r>
      <w:r w:rsidRPr="00A75111">
        <w:rPr>
          <w:rFonts w:ascii="Verdana" w:hAnsi="Verdana"/>
          <w:color w:val="4C4E53"/>
          <w:spacing w:val="-2"/>
          <w:sz w:val="20"/>
          <w:szCs w:val="20"/>
          <w:vertAlign w:val="superscript"/>
        </w:rPr>
        <w:t>ème</w:t>
      </w:r>
      <w:r w:rsidRPr="00A75111">
        <w:rPr>
          <w:rFonts w:ascii="Verdana" w:hAnsi="Verdana"/>
          <w:color w:val="4C4E53"/>
          <w:spacing w:val="-2"/>
          <w:sz w:val="20"/>
          <w:szCs w:val="20"/>
        </w:rPr>
        <w:t xml:space="preserve"> </w:t>
      </w:r>
      <w:r w:rsidR="00FC2D2C" w:rsidRPr="00A75111">
        <w:rPr>
          <w:rFonts w:ascii="Verdana" w:hAnsi="Verdana"/>
          <w:color w:val="4C4E53"/>
          <w:spacing w:val="-2"/>
          <w:sz w:val="20"/>
          <w:szCs w:val="20"/>
        </w:rPr>
        <w:t>trimestre 2014 est de 35,1</w:t>
      </w:r>
      <w:r w:rsidRPr="00A75111">
        <w:rPr>
          <w:rFonts w:ascii="Verdana" w:hAnsi="Verdana"/>
          <w:color w:val="4C4E53"/>
          <w:spacing w:val="-2"/>
          <w:sz w:val="20"/>
          <w:szCs w:val="20"/>
        </w:rPr>
        <w:t xml:space="preserve"> M€ contre </w:t>
      </w:r>
      <w:r w:rsidR="00FC2D2C" w:rsidRPr="00A75111">
        <w:rPr>
          <w:rFonts w:ascii="Verdana" w:hAnsi="Verdana"/>
          <w:color w:val="4C4E53"/>
          <w:spacing w:val="-2"/>
          <w:sz w:val="20"/>
          <w:szCs w:val="20"/>
        </w:rPr>
        <w:t xml:space="preserve">31,4 </w:t>
      </w:r>
      <w:r w:rsidRPr="00A75111">
        <w:rPr>
          <w:rFonts w:ascii="Verdana" w:hAnsi="Verdana"/>
          <w:color w:val="4C4E53"/>
          <w:spacing w:val="-2"/>
          <w:sz w:val="20"/>
          <w:szCs w:val="20"/>
        </w:rPr>
        <w:t xml:space="preserve">M€ </w:t>
      </w:r>
      <w:r w:rsidRPr="00A75111">
        <w:rPr>
          <w:rFonts w:ascii="Verdana" w:hAnsi="Verdana"/>
          <w:color w:val="4C4E53"/>
          <w:spacing w:val="-2"/>
          <w:sz w:val="20"/>
          <w:szCs w:val="20"/>
        </w:rPr>
        <w:lastRenderedPageBreak/>
        <w:t>l’année précédente</w:t>
      </w:r>
      <w:r w:rsidR="00D221E3" w:rsidRPr="00A75111">
        <w:rPr>
          <w:rFonts w:ascii="Verdana" w:hAnsi="Verdana"/>
          <w:color w:val="4C4E53"/>
          <w:spacing w:val="-2"/>
          <w:sz w:val="20"/>
          <w:szCs w:val="20"/>
        </w:rPr>
        <w:t>,</w:t>
      </w:r>
      <w:r w:rsidRPr="00A75111">
        <w:rPr>
          <w:rFonts w:ascii="Verdana" w:hAnsi="Verdana"/>
          <w:color w:val="4C4E53"/>
          <w:spacing w:val="-2"/>
          <w:sz w:val="20"/>
          <w:szCs w:val="20"/>
        </w:rPr>
        <w:t xml:space="preserve"> soit une </w:t>
      </w:r>
      <w:r w:rsidR="00A13A98" w:rsidRPr="00A75111">
        <w:rPr>
          <w:rFonts w:ascii="Verdana" w:hAnsi="Verdana"/>
          <w:color w:val="4C4E53"/>
          <w:spacing w:val="-2"/>
          <w:sz w:val="20"/>
          <w:szCs w:val="20"/>
        </w:rPr>
        <w:t xml:space="preserve">hausse </w:t>
      </w:r>
      <w:r w:rsidRPr="00A75111">
        <w:rPr>
          <w:rFonts w:ascii="Verdana" w:hAnsi="Verdana"/>
          <w:color w:val="4C4E53"/>
          <w:spacing w:val="-2"/>
          <w:sz w:val="20"/>
          <w:szCs w:val="20"/>
        </w:rPr>
        <w:t xml:space="preserve">de </w:t>
      </w:r>
      <w:r w:rsidR="00CB0C29" w:rsidRPr="00A75111">
        <w:rPr>
          <w:rFonts w:ascii="Verdana" w:hAnsi="Verdana"/>
          <w:color w:val="4C4E53"/>
          <w:spacing w:val="-2"/>
          <w:sz w:val="20"/>
          <w:szCs w:val="20"/>
        </w:rPr>
        <w:t>12</w:t>
      </w:r>
      <w:r w:rsidRPr="00A75111">
        <w:rPr>
          <w:rFonts w:ascii="Verdana" w:hAnsi="Verdana"/>
          <w:color w:val="4C4E53"/>
          <w:spacing w:val="-2"/>
          <w:sz w:val="20"/>
          <w:szCs w:val="20"/>
        </w:rPr>
        <w:t>% à périmètre publié et</w:t>
      </w:r>
      <w:r w:rsidR="00865BDC" w:rsidRPr="00A75111">
        <w:rPr>
          <w:rFonts w:ascii="Verdana" w:hAnsi="Verdana"/>
          <w:color w:val="4C4E53"/>
          <w:spacing w:val="-2"/>
          <w:sz w:val="20"/>
          <w:szCs w:val="20"/>
        </w:rPr>
        <w:t xml:space="preserve"> une baisse de </w:t>
      </w:r>
      <w:r w:rsidRPr="00A75111">
        <w:rPr>
          <w:rFonts w:ascii="Verdana" w:hAnsi="Verdana"/>
          <w:color w:val="4C4E53"/>
          <w:spacing w:val="-2"/>
          <w:sz w:val="20"/>
          <w:szCs w:val="20"/>
        </w:rPr>
        <w:t xml:space="preserve"> </w:t>
      </w:r>
      <w:r w:rsidR="00865BDC" w:rsidRPr="00A75111">
        <w:rPr>
          <w:rFonts w:ascii="Verdana" w:hAnsi="Verdana"/>
          <w:color w:val="4C4E53"/>
          <w:spacing w:val="-2"/>
          <w:sz w:val="20"/>
          <w:szCs w:val="20"/>
        </w:rPr>
        <w:t>4</w:t>
      </w:r>
      <w:r w:rsidR="00C17550" w:rsidRPr="00A75111">
        <w:rPr>
          <w:rFonts w:ascii="Verdana" w:hAnsi="Verdana"/>
          <w:color w:val="4C4E53"/>
          <w:spacing w:val="-2"/>
          <w:sz w:val="20"/>
          <w:szCs w:val="20"/>
        </w:rPr>
        <w:t>,</w:t>
      </w:r>
      <w:r w:rsidR="00865BDC" w:rsidRPr="00A75111">
        <w:rPr>
          <w:rFonts w:ascii="Verdana" w:hAnsi="Verdana"/>
          <w:color w:val="4C4E53"/>
          <w:spacing w:val="-2"/>
          <w:sz w:val="20"/>
          <w:szCs w:val="20"/>
        </w:rPr>
        <w:t>9</w:t>
      </w:r>
      <w:r w:rsidRPr="00A75111">
        <w:rPr>
          <w:rFonts w:ascii="Verdana" w:hAnsi="Verdana"/>
          <w:color w:val="4C4E53"/>
          <w:spacing w:val="-2"/>
          <w:sz w:val="20"/>
          <w:szCs w:val="20"/>
        </w:rPr>
        <w:t>% à périmètre comparable.</w:t>
      </w:r>
      <w:r w:rsidR="00383AA9">
        <w:rPr>
          <w:rFonts w:ascii="Verdana" w:hAnsi="Verdana"/>
          <w:color w:val="4C4E53"/>
          <w:spacing w:val="-2"/>
          <w:sz w:val="20"/>
          <w:szCs w:val="20"/>
        </w:rPr>
        <w:t xml:space="preserve"> </w:t>
      </w:r>
    </w:p>
    <w:p w14:paraId="77B6A1C8" w14:textId="77777777" w:rsidR="00C05CA5" w:rsidRPr="00383AA9" w:rsidRDefault="00C05CA5" w:rsidP="00C05CA5">
      <w:pPr>
        <w:pStyle w:val="Normalcentr"/>
        <w:ind w:left="0" w:right="0"/>
        <w:rPr>
          <w:rFonts w:ascii="Verdana" w:hAnsi="Verdana"/>
          <w:color w:val="4C4E53"/>
          <w:spacing w:val="-2"/>
          <w:sz w:val="20"/>
          <w:szCs w:val="20"/>
        </w:rPr>
      </w:pPr>
    </w:p>
    <w:p w14:paraId="34698093" w14:textId="1E73EF14" w:rsidR="00C17550" w:rsidRPr="00383AA9" w:rsidRDefault="00C05CA5" w:rsidP="00C17550">
      <w:pPr>
        <w:pStyle w:val="Normalcentr"/>
        <w:ind w:left="0" w:right="0"/>
        <w:rPr>
          <w:rFonts w:ascii="Verdana" w:hAnsi="Verdana"/>
          <w:color w:val="4C4E53"/>
          <w:spacing w:val="-2"/>
          <w:sz w:val="20"/>
          <w:szCs w:val="20"/>
        </w:rPr>
      </w:pPr>
      <w:r w:rsidRPr="00383AA9">
        <w:rPr>
          <w:rFonts w:ascii="Verdana" w:hAnsi="Verdana"/>
          <w:color w:val="4C4E53"/>
          <w:spacing w:val="-2"/>
          <w:sz w:val="20"/>
          <w:szCs w:val="20"/>
        </w:rPr>
        <w:t xml:space="preserve">Le chiffre d’affaires du secteur « Cruise » </w:t>
      </w:r>
      <w:r w:rsidR="00C17550" w:rsidRPr="00383AA9">
        <w:rPr>
          <w:rFonts w:ascii="Verdana" w:hAnsi="Verdana"/>
          <w:bCs/>
          <w:color w:val="4C4E53"/>
          <w:spacing w:val="-2"/>
          <w:sz w:val="20"/>
          <w:szCs w:val="20"/>
        </w:rPr>
        <w:t>est en hausse de 33% au 30 septembre 2014</w:t>
      </w:r>
      <w:r w:rsidRPr="00383AA9">
        <w:rPr>
          <w:rFonts w:ascii="Verdana" w:hAnsi="Verdana"/>
          <w:bCs/>
          <w:color w:val="4C4E53"/>
          <w:spacing w:val="-2"/>
          <w:sz w:val="20"/>
          <w:szCs w:val="20"/>
        </w:rPr>
        <w:t xml:space="preserve"> par rapport à l’année pr</w:t>
      </w:r>
      <w:r w:rsidR="00C17550" w:rsidRPr="00383AA9">
        <w:rPr>
          <w:rFonts w:ascii="Verdana" w:hAnsi="Verdana"/>
          <w:bCs/>
          <w:color w:val="4C4E53"/>
          <w:spacing w:val="-2"/>
          <w:sz w:val="20"/>
          <w:szCs w:val="20"/>
        </w:rPr>
        <w:t>écédente et s’élève à 25,8</w:t>
      </w:r>
      <w:r w:rsidRPr="00383AA9">
        <w:rPr>
          <w:rFonts w:ascii="Verdana" w:hAnsi="Verdana"/>
          <w:bCs/>
          <w:color w:val="4C4E53"/>
          <w:spacing w:val="-2"/>
          <w:sz w:val="20"/>
          <w:szCs w:val="20"/>
        </w:rPr>
        <w:t xml:space="preserve"> M€ contre </w:t>
      </w:r>
      <w:r w:rsidR="00C17550" w:rsidRPr="00383AA9">
        <w:rPr>
          <w:rFonts w:ascii="Verdana" w:hAnsi="Verdana"/>
          <w:bCs/>
          <w:color w:val="4C4E53"/>
          <w:spacing w:val="-2"/>
          <w:sz w:val="20"/>
          <w:szCs w:val="20"/>
        </w:rPr>
        <w:t>19,4 M€ au 30 septembre 2013</w:t>
      </w:r>
      <w:r w:rsidRPr="00383AA9">
        <w:rPr>
          <w:rFonts w:ascii="Verdana" w:hAnsi="Verdana"/>
          <w:bCs/>
          <w:color w:val="4C4E53"/>
          <w:spacing w:val="-2"/>
          <w:sz w:val="20"/>
          <w:szCs w:val="20"/>
        </w:rPr>
        <w:t xml:space="preserve">. </w:t>
      </w:r>
      <w:r w:rsidRPr="00383AA9">
        <w:rPr>
          <w:rFonts w:ascii="Verdana" w:hAnsi="Verdana"/>
          <w:color w:val="4C4E53"/>
          <w:spacing w:val="-2"/>
          <w:sz w:val="20"/>
          <w:szCs w:val="20"/>
        </w:rPr>
        <w:t xml:space="preserve">A périmètre comparable, en retraitant l’activité de </w:t>
      </w:r>
      <w:r w:rsidR="00C17550" w:rsidRPr="00383AA9">
        <w:rPr>
          <w:rFonts w:ascii="Verdana" w:hAnsi="Verdana"/>
          <w:color w:val="4C4E53"/>
          <w:spacing w:val="-2"/>
          <w:sz w:val="20"/>
          <w:szCs w:val="20"/>
        </w:rPr>
        <w:t>HMS Technologies</w:t>
      </w:r>
      <w:r w:rsidRPr="00383AA9">
        <w:rPr>
          <w:rFonts w:ascii="Verdana" w:hAnsi="Verdana"/>
          <w:color w:val="4C4E53"/>
          <w:spacing w:val="-2"/>
          <w:sz w:val="20"/>
          <w:szCs w:val="20"/>
        </w:rPr>
        <w:t xml:space="preserve"> sur la période, </w:t>
      </w:r>
      <w:r w:rsidR="00C17550" w:rsidRPr="00383AA9">
        <w:rPr>
          <w:rFonts w:ascii="Verdana" w:hAnsi="Verdana"/>
          <w:color w:val="4C4E53"/>
          <w:spacing w:val="-2"/>
          <w:sz w:val="20"/>
          <w:szCs w:val="20"/>
        </w:rPr>
        <w:t>le chiffre d’affaires est en progression de 28,6% et s’établit à 24</w:t>
      </w:r>
      <w:r w:rsidRPr="00383AA9">
        <w:rPr>
          <w:rFonts w:ascii="Verdana" w:hAnsi="Verdana"/>
          <w:color w:val="4C4E53"/>
          <w:spacing w:val="-2"/>
          <w:sz w:val="20"/>
          <w:szCs w:val="20"/>
        </w:rPr>
        <w:t xml:space="preserve">,9 M€. </w:t>
      </w:r>
      <w:r w:rsidR="00C17550" w:rsidRPr="00383AA9">
        <w:rPr>
          <w:rFonts w:ascii="Verdana" w:hAnsi="Verdana"/>
          <w:color w:val="4C4E53"/>
          <w:spacing w:val="-2"/>
          <w:sz w:val="20"/>
          <w:szCs w:val="20"/>
        </w:rPr>
        <w:t>L’augmentation d’activité provient, à part égale</w:t>
      </w:r>
      <w:r w:rsidR="00A13A98" w:rsidRPr="00383AA9">
        <w:rPr>
          <w:rFonts w:ascii="Verdana" w:hAnsi="Verdana"/>
          <w:color w:val="4C4E53"/>
          <w:spacing w:val="-2"/>
          <w:sz w:val="20"/>
          <w:szCs w:val="20"/>
        </w:rPr>
        <w:t>,</w:t>
      </w:r>
      <w:r w:rsidR="00C17550" w:rsidRPr="00383AA9">
        <w:rPr>
          <w:rFonts w:ascii="Verdana" w:hAnsi="Verdana"/>
          <w:color w:val="4C4E53"/>
          <w:spacing w:val="-2"/>
          <w:sz w:val="20"/>
          <w:szCs w:val="20"/>
        </w:rPr>
        <w:t xml:space="preserve"> de l’équipement de nouveaux bateaux en Italie et de l’activité de rénovation et de remise à niveau technologique des navires de croisières pilotée par la filiale américaine. Le chiffre d’affaires du 3</w:t>
      </w:r>
      <w:r w:rsidR="00C17550" w:rsidRPr="00383AA9">
        <w:rPr>
          <w:rFonts w:ascii="Verdana" w:hAnsi="Verdana"/>
          <w:color w:val="4C4E53"/>
          <w:spacing w:val="-2"/>
          <w:sz w:val="20"/>
          <w:szCs w:val="20"/>
          <w:vertAlign w:val="superscript"/>
        </w:rPr>
        <w:t>ème</w:t>
      </w:r>
      <w:r w:rsidR="00C17550" w:rsidRPr="00383AA9">
        <w:rPr>
          <w:rFonts w:ascii="Verdana" w:hAnsi="Verdana"/>
          <w:color w:val="4C4E53"/>
          <w:spacing w:val="-2"/>
          <w:sz w:val="20"/>
          <w:szCs w:val="20"/>
        </w:rPr>
        <w:t xml:space="preserve"> trimestre 2014 est de 8,1 M€ contre </w:t>
      </w:r>
      <w:r w:rsidR="00D56F04" w:rsidRPr="00383AA9">
        <w:rPr>
          <w:rFonts w:ascii="Verdana" w:hAnsi="Verdana"/>
          <w:color w:val="4C4E53"/>
          <w:spacing w:val="-2"/>
          <w:sz w:val="20"/>
          <w:szCs w:val="20"/>
        </w:rPr>
        <w:t>5,2</w:t>
      </w:r>
      <w:r w:rsidR="00C17550" w:rsidRPr="00383AA9">
        <w:rPr>
          <w:rFonts w:ascii="Verdana" w:hAnsi="Verdana"/>
          <w:color w:val="4C4E53"/>
          <w:spacing w:val="-2"/>
          <w:sz w:val="20"/>
          <w:szCs w:val="20"/>
        </w:rPr>
        <w:t xml:space="preserve"> M€ l’année précédente soit une </w:t>
      </w:r>
      <w:r w:rsidR="00A13A98" w:rsidRPr="00383AA9">
        <w:rPr>
          <w:rFonts w:ascii="Verdana" w:hAnsi="Verdana"/>
          <w:color w:val="4C4E53"/>
          <w:spacing w:val="-2"/>
          <w:sz w:val="20"/>
          <w:szCs w:val="20"/>
        </w:rPr>
        <w:t xml:space="preserve">hausse </w:t>
      </w:r>
      <w:r w:rsidR="00C17550" w:rsidRPr="00383AA9">
        <w:rPr>
          <w:rFonts w:ascii="Verdana" w:hAnsi="Verdana"/>
          <w:color w:val="4C4E53"/>
          <w:spacing w:val="-2"/>
          <w:sz w:val="20"/>
          <w:szCs w:val="20"/>
        </w:rPr>
        <w:t xml:space="preserve">de </w:t>
      </w:r>
      <w:r w:rsidR="00662CF7" w:rsidRPr="00662CF7">
        <w:rPr>
          <w:rFonts w:ascii="Verdana" w:hAnsi="Verdana"/>
          <w:color w:val="4C4E53"/>
          <w:spacing w:val="-2"/>
          <w:sz w:val="20"/>
          <w:szCs w:val="20"/>
        </w:rPr>
        <w:t>57</w:t>
      </w:r>
      <w:r w:rsidR="00C17550" w:rsidRPr="00662CF7">
        <w:rPr>
          <w:rFonts w:ascii="Verdana" w:hAnsi="Verdana"/>
          <w:color w:val="4C4E53"/>
          <w:spacing w:val="-2"/>
          <w:sz w:val="20"/>
          <w:szCs w:val="20"/>
        </w:rPr>
        <w:t>,</w:t>
      </w:r>
      <w:r w:rsidR="00662CF7" w:rsidRPr="00662CF7">
        <w:rPr>
          <w:rFonts w:ascii="Verdana" w:hAnsi="Verdana"/>
          <w:color w:val="4C4E53"/>
          <w:spacing w:val="-2"/>
          <w:sz w:val="20"/>
          <w:szCs w:val="20"/>
        </w:rPr>
        <w:t>4</w:t>
      </w:r>
      <w:r w:rsidR="00C17550" w:rsidRPr="00662CF7">
        <w:rPr>
          <w:rFonts w:ascii="Verdana" w:hAnsi="Verdana"/>
          <w:color w:val="4C4E53"/>
          <w:spacing w:val="-2"/>
          <w:sz w:val="20"/>
          <w:szCs w:val="20"/>
        </w:rPr>
        <w:t>%</w:t>
      </w:r>
      <w:r w:rsidR="00C17550" w:rsidRPr="00383AA9">
        <w:rPr>
          <w:rFonts w:ascii="Verdana" w:hAnsi="Verdana"/>
          <w:color w:val="4C4E53"/>
          <w:spacing w:val="-2"/>
          <w:sz w:val="20"/>
          <w:szCs w:val="20"/>
        </w:rPr>
        <w:t xml:space="preserve"> à périmètre publié </w:t>
      </w:r>
      <w:r w:rsidR="00C17550" w:rsidRPr="00662CF7">
        <w:rPr>
          <w:rFonts w:ascii="Verdana" w:hAnsi="Verdana"/>
          <w:color w:val="4C4E53"/>
          <w:spacing w:val="-2"/>
          <w:sz w:val="20"/>
          <w:szCs w:val="20"/>
        </w:rPr>
        <w:t xml:space="preserve">et </w:t>
      </w:r>
      <w:r w:rsidR="00662CF7" w:rsidRPr="00A75111">
        <w:rPr>
          <w:rFonts w:ascii="Verdana" w:hAnsi="Verdana"/>
          <w:color w:val="4C4E53"/>
          <w:spacing w:val="-2"/>
          <w:sz w:val="20"/>
          <w:szCs w:val="20"/>
        </w:rPr>
        <w:t>45</w:t>
      </w:r>
      <w:r w:rsidR="00C17550" w:rsidRPr="00A75111">
        <w:rPr>
          <w:rFonts w:ascii="Verdana" w:hAnsi="Verdana"/>
          <w:color w:val="4C4E53"/>
          <w:spacing w:val="-2"/>
          <w:sz w:val="20"/>
          <w:szCs w:val="20"/>
        </w:rPr>
        <w:t>,</w:t>
      </w:r>
      <w:r w:rsidR="00662CF7" w:rsidRPr="00A75111">
        <w:rPr>
          <w:rFonts w:ascii="Verdana" w:hAnsi="Verdana"/>
          <w:color w:val="4C4E53"/>
          <w:spacing w:val="-2"/>
          <w:sz w:val="20"/>
          <w:szCs w:val="20"/>
        </w:rPr>
        <w:t>9</w:t>
      </w:r>
      <w:r w:rsidR="00C17550" w:rsidRPr="00A75111">
        <w:rPr>
          <w:rFonts w:ascii="Verdana" w:hAnsi="Verdana"/>
          <w:color w:val="4C4E53"/>
          <w:spacing w:val="-2"/>
          <w:sz w:val="20"/>
          <w:szCs w:val="20"/>
        </w:rPr>
        <w:t>%</w:t>
      </w:r>
      <w:r w:rsidR="00C17550" w:rsidRPr="00383AA9">
        <w:rPr>
          <w:rFonts w:ascii="Verdana" w:hAnsi="Verdana"/>
          <w:color w:val="4C4E53"/>
          <w:spacing w:val="-2"/>
          <w:sz w:val="20"/>
          <w:szCs w:val="20"/>
        </w:rPr>
        <w:t xml:space="preserve"> à périmètre comparable. </w:t>
      </w:r>
    </w:p>
    <w:p w14:paraId="4E765840" w14:textId="77777777" w:rsidR="00C05CA5" w:rsidRPr="00383AA9" w:rsidRDefault="00C17550" w:rsidP="00C05CA5">
      <w:pPr>
        <w:pStyle w:val="Normalcentr"/>
        <w:ind w:left="0" w:right="0"/>
        <w:rPr>
          <w:rFonts w:ascii="Verdana" w:hAnsi="Verdana"/>
          <w:color w:val="4C4E53"/>
          <w:spacing w:val="-2"/>
          <w:sz w:val="20"/>
          <w:szCs w:val="20"/>
        </w:rPr>
      </w:pPr>
      <w:r w:rsidRPr="00383AA9">
        <w:rPr>
          <w:rFonts w:ascii="Verdana" w:hAnsi="Verdana"/>
          <w:color w:val="4C4E53"/>
          <w:spacing w:val="-2"/>
          <w:sz w:val="20"/>
          <w:szCs w:val="20"/>
        </w:rPr>
        <w:t xml:space="preserve"> </w:t>
      </w:r>
    </w:p>
    <w:p w14:paraId="2D2468B7" w14:textId="77777777" w:rsidR="00C05CA5" w:rsidRPr="00383AA9" w:rsidRDefault="00C05CA5" w:rsidP="00C05CA5">
      <w:pPr>
        <w:pStyle w:val="Normalcentr"/>
        <w:ind w:left="0" w:right="0"/>
        <w:rPr>
          <w:rFonts w:ascii="Verdana" w:hAnsi="Verdana"/>
          <w:color w:val="4C4E53"/>
          <w:spacing w:val="-2"/>
          <w:sz w:val="20"/>
          <w:szCs w:val="20"/>
        </w:rPr>
      </w:pPr>
    </w:p>
    <w:p w14:paraId="5CC9F97A" w14:textId="77777777" w:rsidR="00C05CA5" w:rsidRPr="00616CFC" w:rsidRDefault="00C05CA5" w:rsidP="00C05CA5">
      <w:pPr>
        <w:autoSpaceDE w:val="0"/>
        <w:autoSpaceDN w:val="0"/>
        <w:adjustRightInd w:val="0"/>
        <w:jc w:val="both"/>
        <w:rPr>
          <w:rFonts w:ascii="Verdana" w:hAnsi="Verdana" w:cs="Courier New"/>
        </w:rPr>
      </w:pPr>
    </w:p>
    <w:p w14:paraId="4B74B009" w14:textId="77777777" w:rsidR="00ED41CE" w:rsidRDefault="00ED41CE" w:rsidP="00616CFC">
      <w:pPr>
        <w:rPr>
          <w:rFonts w:ascii="Verdana" w:hAnsi="Verdana"/>
          <w:color w:val="4C4E5D"/>
        </w:rPr>
      </w:pPr>
    </w:p>
    <w:p w14:paraId="569226A1" w14:textId="77777777" w:rsidR="00CA286E" w:rsidRDefault="00CA286E" w:rsidP="00616CFC">
      <w:pPr>
        <w:rPr>
          <w:rFonts w:ascii="Verdana" w:hAnsi="Verdana"/>
          <w:color w:val="4C4E5D"/>
        </w:rPr>
      </w:pPr>
    </w:p>
    <w:tbl>
      <w:tblPr>
        <w:tblW w:w="0" w:type="auto"/>
        <w:tblBorders>
          <w:top w:val="single" w:sz="4" w:space="0" w:color="D51366"/>
          <w:left w:val="single" w:sz="4" w:space="0" w:color="D51366"/>
          <w:bottom w:val="single" w:sz="4" w:space="0" w:color="D51366"/>
          <w:right w:val="single" w:sz="4" w:space="0" w:color="D51366"/>
          <w:insideH w:val="single" w:sz="4" w:space="0" w:color="D51366"/>
          <w:insideV w:val="single" w:sz="4" w:space="0" w:color="D51366"/>
        </w:tblBorders>
        <w:tblLook w:val="04A0" w:firstRow="1" w:lastRow="0" w:firstColumn="1" w:lastColumn="0" w:noHBand="0" w:noVBand="1"/>
      </w:tblPr>
      <w:tblGrid>
        <w:gridCol w:w="9778"/>
      </w:tblGrid>
      <w:tr w:rsidR="00C64C6B" w:rsidRPr="00226F86" w14:paraId="2F4F3AB9" w14:textId="77777777" w:rsidTr="00226F86">
        <w:tc>
          <w:tcPr>
            <w:tcW w:w="9778" w:type="dxa"/>
            <w:tcBorders>
              <w:top w:val="single" w:sz="12" w:space="0" w:color="4C4E5D"/>
              <w:left w:val="single" w:sz="12" w:space="0" w:color="4C4E5D"/>
              <w:bottom w:val="single" w:sz="12" w:space="0" w:color="4C4E5D"/>
              <w:right w:val="single" w:sz="12" w:space="0" w:color="4C4E5D"/>
            </w:tcBorders>
            <w:shd w:val="clear" w:color="auto" w:fill="auto"/>
          </w:tcPr>
          <w:p w14:paraId="3FE0D4C4" w14:textId="77777777" w:rsidR="00C64C6B" w:rsidRPr="00226F86" w:rsidRDefault="00C64C6B" w:rsidP="00E3568D">
            <w:pPr>
              <w:pStyle w:val="Normalcentr"/>
              <w:keepNext/>
              <w:ind w:left="0" w:right="0"/>
              <w:rPr>
                <w:rFonts w:ascii="Verdana" w:hAnsi="Verdana"/>
                <w:b/>
                <w:color w:val="D51366"/>
                <w:spacing w:val="-2"/>
                <w:sz w:val="20"/>
                <w:szCs w:val="20"/>
              </w:rPr>
            </w:pPr>
            <w:r w:rsidRPr="00226F86">
              <w:rPr>
                <w:rFonts w:ascii="Verdana" w:hAnsi="Verdana"/>
                <w:b/>
                <w:color w:val="D51366"/>
                <w:spacing w:val="-2"/>
                <w:sz w:val="20"/>
                <w:szCs w:val="20"/>
              </w:rPr>
              <w:t>OPERATIONS ET EV</w:t>
            </w:r>
            <w:r w:rsidR="009107BF">
              <w:rPr>
                <w:rFonts w:ascii="Verdana" w:hAnsi="Verdana"/>
                <w:b/>
                <w:color w:val="D51366"/>
                <w:spacing w:val="-2"/>
                <w:sz w:val="20"/>
                <w:szCs w:val="20"/>
              </w:rPr>
              <w:t>ENEMENTS IMPORTANTS DU TROISIEME</w:t>
            </w:r>
            <w:r w:rsidR="00D651E8">
              <w:rPr>
                <w:rFonts w:ascii="Verdana" w:hAnsi="Verdana"/>
                <w:b/>
                <w:color w:val="D51366"/>
                <w:spacing w:val="-2"/>
                <w:sz w:val="20"/>
                <w:szCs w:val="20"/>
              </w:rPr>
              <w:t xml:space="preserve"> TRIMESTRE 2014</w:t>
            </w:r>
          </w:p>
        </w:tc>
      </w:tr>
    </w:tbl>
    <w:p w14:paraId="0D8C84AE" w14:textId="77777777" w:rsidR="00C64C6B" w:rsidRDefault="00C64C6B" w:rsidP="00E3568D">
      <w:pPr>
        <w:pStyle w:val="Normalcentr"/>
        <w:keepNext/>
        <w:ind w:left="0" w:right="0"/>
        <w:rPr>
          <w:rFonts w:ascii="Verdana" w:hAnsi="Verdana"/>
          <w:spacing w:val="-2"/>
          <w:sz w:val="20"/>
          <w:szCs w:val="20"/>
        </w:rPr>
      </w:pPr>
    </w:p>
    <w:p w14:paraId="62CAC6E6" w14:textId="77777777" w:rsidR="00616CFC" w:rsidRPr="00363F41" w:rsidRDefault="00145A3B" w:rsidP="00616CF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4C4E5D"/>
        </w:rPr>
      </w:pPr>
      <w:r w:rsidRPr="00363F41">
        <w:rPr>
          <w:rFonts w:ascii="Verdana" w:hAnsi="Verdana" w:cs="Courier New"/>
          <w:color w:val="4C4E5D"/>
        </w:rPr>
        <w:t>A la connaissance de la société, il</w:t>
      </w:r>
      <w:r w:rsidR="009107BF">
        <w:rPr>
          <w:rFonts w:ascii="Verdana" w:hAnsi="Verdana" w:cs="Courier New"/>
          <w:color w:val="4C4E5D"/>
        </w:rPr>
        <w:t xml:space="preserve"> n’y a eu, au cours du troisième</w:t>
      </w:r>
      <w:r w:rsidR="00395DCA">
        <w:rPr>
          <w:rFonts w:ascii="Verdana" w:hAnsi="Verdana" w:cs="Courier New"/>
          <w:color w:val="4C4E5D"/>
        </w:rPr>
        <w:t xml:space="preserve"> trimestre 2014</w:t>
      </w:r>
      <w:r w:rsidR="009107BF">
        <w:rPr>
          <w:rFonts w:ascii="Verdana" w:hAnsi="Verdana" w:cs="Courier New"/>
          <w:color w:val="4C4E5D"/>
        </w:rPr>
        <w:t>, aucun</w:t>
      </w:r>
      <w:r w:rsidR="00DA2190">
        <w:rPr>
          <w:rFonts w:ascii="Verdana" w:hAnsi="Verdana" w:cs="Courier New"/>
          <w:color w:val="4C4E5D"/>
        </w:rPr>
        <w:t xml:space="preserve"> </w:t>
      </w:r>
      <w:r w:rsidRPr="00363F41">
        <w:rPr>
          <w:rFonts w:ascii="Verdana" w:hAnsi="Verdana" w:cs="Courier New"/>
          <w:color w:val="4C4E5D"/>
        </w:rPr>
        <w:t xml:space="preserve">évènement ou changement de nature à modifier de façon significative la situation financière du groupe. </w:t>
      </w:r>
    </w:p>
    <w:p w14:paraId="183D4E88" w14:textId="77777777" w:rsidR="00616CFC" w:rsidRDefault="00616CFC" w:rsidP="00616CFC">
      <w:pPr>
        <w:autoSpaceDE w:val="0"/>
        <w:autoSpaceDN w:val="0"/>
        <w:adjustRightInd w:val="0"/>
        <w:jc w:val="both"/>
        <w:rPr>
          <w:rFonts w:ascii="Verdana" w:hAnsi="Verdana"/>
          <w:color w:val="4C4E5D"/>
        </w:rPr>
      </w:pPr>
    </w:p>
    <w:p w14:paraId="02FA7D3E" w14:textId="77777777" w:rsidR="00EF1971" w:rsidRDefault="00EF1971" w:rsidP="00616CFC">
      <w:pPr>
        <w:autoSpaceDE w:val="0"/>
        <w:autoSpaceDN w:val="0"/>
        <w:adjustRightInd w:val="0"/>
        <w:jc w:val="both"/>
        <w:rPr>
          <w:rFonts w:ascii="Verdana" w:hAnsi="Verdana"/>
          <w:color w:val="4C4E5D"/>
        </w:rPr>
      </w:pPr>
    </w:p>
    <w:p w14:paraId="5EA37216" w14:textId="77777777" w:rsidR="00C64C6B" w:rsidRDefault="00C64C6B" w:rsidP="00616CFC">
      <w:pPr>
        <w:autoSpaceDE w:val="0"/>
        <w:autoSpaceDN w:val="0"/>
        <w:adjustRightInd w:val="0"/>
        <w:jc w:val="both"/>
        <w:rPr>
          <w:rFonts w:ascii="Verdana" w:hAnsi="Verdana"/>
          <w:color w:val="4C4E5D"/>
        </w:rPr>
      </w:pPr>
    </w:p>
    <w:tbl>
      <w:tblPr>
        <w:tblW w:w="0" w:type="auto"/>
        <w:tblBorders>
          <w:top w:val="single" w:sz="4" w:space="0" w:color="D51366"/>
          <w:left w:val="single" w:sz="4" w:space="0" w:color="D51366"/>
          <w:bottom w:val="single" w:sz="4" w:space="0" w:color="D51366"/>
          <w:right w:val="single" w:sz="4" w:space="0" w:color="D51366"/>
          <w:insideH w:val="single" w:sz="4" w:space="0" w:color="D51366"/>
          <w:insideV w:val="single" w:sz="4" w:space="0" w:color="D51366"/>
        </w:tblBorders>
        <w:tblLook w:val="04A0" w:firstRow="1" w:lastRow="0" w:firstColumn="1" w:lastColumn="0" w:noHBand="0" w:noVBand="1"/>
      </w:tblPr>
      <w:tblGrid>
        <w:gridCol w:w="9778"/>
      </w:tblGrid>
      <w:tr w:rsidR="00C64C6B" w:rsidRPr="00226F86" w14:paraId="60E0BAB1" w14:textId="77777777" w:rsidTr="00226F86">
        <w:tc>
          <w:tcPr>
            <w:tcW w:w="9778" w:type="dxa"/>
            <w:tcBorders>
              <w:top w:val="single" w:sz="12" w:space="0" w:color="4C4E5D"/>
              <w:left w:val="single" w:sz="12" w:space="0" w:color="4C4E5D"/>
              <w:bottom w:val="single" w:sz="12" w:space="0" w:color="4C4E5D"/>
              <w:right w:val="single" w:sz="12" w:space="0" w:color="4C4E5D"/>
            </w:tcBorders>
            <w:shd w:val="clear" w:color="auto" w:fill="auto"/>
          </w:tcPr>
          <w:p w14:paraId="3F5CA989" w14:textId="77777777" w:rsidR="00C64C6B" w:rsidRPr="00226F86" w:rsidRDefault="00C64C6B" w:rsidP="00226F86">
            <w:pPr>
              <w:pStyle w:val="Normalcentr"/>
              <w:ind w:left="0" w:right="0"/>
              <w:rPr>
                <w:rFonts w:ascii="Verdana" w:hAnsi="Verdana"/>
                <w:b/>
                <w:color w:val="D51366"/>
                <w:spacing w:val="-2"/>
                <w:sz w:val="20"/>
                <w:szCs w:val="20"/>
              </w:rPr>
            </w:pPr>
            <w:r w:rsidRPr="00226F86">
              <w:rPr>
                <w:rFonts w:ascii="Verdana" w:hAnsi="Verdana"/>
                <w:b/>
                <w:color w:val="D51366"/>
                <w:spacing w:val="-2"/>
                <w:sz w:val="20"/>
                <w:szCs w:val="20"/>
              </w:rPr>
              <w:t>PERSPECTIVES</w:t>
            </w:r>
          </w:p>
        </w:tc>
      </w:tr>
    </w:tbl>
    <w:p w14:paraId="286714E9" w14:textId="77777777" w:rsidR="00C64C6B" w:rsidRDefault="00C64C6B" w:rsidP="00C64C6B">
      <w:pPr>
        <w:pStyle w:val="Normalcentr"/>
        <w:ind w:left="0" w:right="0"/>
        <w:rPr>
          <w:rFonts w:ascii="Verdana" w:hAnsi="Verdana"/>
          <w:spacing w:val="-2"/>
          <w:sz w:val="20"/>
          <w:szCs w:val="20"/>
        </w:rPr>
      </w:pPr>
    </w:p>
    <w:p w14:paraId="1599E4BF" w14:textId="77777777" w:rsidR="00616CFC" w:rsidRPr="00363F41" w:rsidRDefault="00616CFC" w:rsidP="00616CFC">
      <w:pPr>
        <w:autoSpaceDE w:val="0"/>
        <w:autoSpaceDN w:val="0"/>
        <w:adjustRightInd w:val="0"/>
        <w:jc w:val="both"/>
        <w:rPr>
          <w:rFonts w:ascii="Verdana" w:hAnsi="Verdana"/>
          <w:color w:val="4C4E5D"/>
        </w:rPr>
      </w:pPr>
      <w:r w:rsidRPr="00363F41">
        <w:rPr>
          <w:rFonts w:ascii="Verdana" w:hAnsi="Verdana"/>
          <w:color w:val="4C4E5D"/>
        </w:rPr>
        <w:t xml:space="preserve">Le groupe </w:t>
      </w:r>
      <w:r w:rsidR="00C93255">
        <w:rPr>
          <w:rFonts w:ascii="Verdana" w:hAnsi="Verdana"/>
          <w:color w:val="4C4E5D"/>
        </w:rPr>
        <w:t>poursuit</w:t>
      </w:r>
      <w:r w:rsidR="00C93255" w:rsidRPr="00363F41">
        <w:rPr>
          <w:rFonts w:ascii="Verdana" w:hAnsi="Verdana"/>
          <w:color w:val="4C4E5D"/>
        </w:rPr>
        <w:t xml:space="preserve"> </w:t>
      </w:r>
      <w:r w:rsidRPr="00363F41">
        <w:rPr>
          <w:rFonts w:ascii="Verdana" w:hAnsi="Verdana"/>
          <w:color w:val="4C4E5D"/>
        </w:rPr>
        <w:t>sa</w:t>
      </w:r>
      <w:r w:rsidR="00C05CA5">
        <w:rPr>
          <w:rFonts w:ascii="Verdana" w:hAnsi="Verdana"/>
          <w:color w:val="4C4E5D"/>
        </w:rPr>
        <w:t xml:space="preserve"> stratégie d’investissement pour favoriser son développement à l’export </w:t>
      </w:r>
      <w:r w:rsidR="002F6986">
        <w:rPr>
          <w:rFonts w:ascii="Verdana" w:hAnsi="Verdana"/>
          <w:color w:val="4C4E5D"/>
        </w:rPr>
        <w:t xml:space="preserve">avec pour objectif une croissance de </w:t>
      </w:r>
      <w:r w:rsidR="004553F3">
        <w:rPr>
          <w:rFonts w:ascii="Verdana" w:hAnsi="Verdana"/>
          <w:color w:val="4C4E5D"/>
        </w:rPr>
        <w:t xml:space="preserve">ses activités </w:t>
      </w:r>
      <w:r w:rsidR="002F6986">
        <w:rPr>
          <w:rFonts w:ascii="Verdana" w:hAnsi="Verdana"/>
          <w:color w:val="4C4E5D"/>
        </w:rPr>
        <w:t xml:space="preserve">et une amélioration de </w:t>
      </w:r>
      <w:r w:rsidR="004553F3">
        <w:rPr>
          <w:rFonts w:ascii="Verdana" w:hAnsi="Verdana"/>
          <w:color w:val="4C4E5D"/>
        </w:rPr>
        <w:t xml:space="preserve">sa </w:t>
      </w:r>
      <w:r w:rsidR="002F6986">
        <w:rPr>
          <w:rFonts w:ascii="Verdana" w:hAnsi="Verdana"/>
          <w:color w:val="4C4E5D"/>
        </w:rPr>
        <w:t>profitabilité</w:t>
      </w:r>
      <w:r w:rsidRPr="00363F41">
        <w:rPr>
          <w:rFonts w:ascii="Verdana" w:hAnsi="Verdana"/>
          <w:color w:val="4C4E5D"/>
        </w:rPr>
        <w:t xml:space="preserve">.  </w:t>
      </w:r>
    </w:p>
    <w:p w14:paraId="4BE92C68" w14:textId="77777777" w:rsidR="00616CFC" w:rsidRPr="00363F41" w:rsidRDefault="00616CFC" w:rsidP="00616CFC">
      <w:pPr>
        <w:autoSpaceDE w:val="0"/>
        <w:autoSpaceDN w:val="0"/>
        <w:adjustRightInd w:val="0"/>
        <w:rPr>
          <w:rFonts w:ascii="Verdana" w:hAnsi="Verdana"/>
          <w:color w:val="4C4E5D"/>
        </w:rPr>
      </w:pPr>
    </w:p>
    <w:p w14:paraId="4B597463" w14:textId="77777777" w:rsidR="00ED41CE" w:rsidRPr="00363F41" w:rsidRDefault="00ED41CE" w:rsidP="00616CFC">
      <w:pPr>
        <w:autoSpaceDE w:val="0"/>
        <w:autoSpaceDN w:val="0"/>
        <w:adjustRightInd w:val="0"/>
        <w:rPr>
          <w:rFonts w:ascii="Verdana" w:hAnsi="Verdana"/>
          <w:color w:val="4C4E5D"/>
        </w:rPr>
      </w:pPr>
    </w:p>
    <w:p w14:paraId="41D2D54D" w14:textId="552A2FC0" w:rsidR="00707081" w:rsidRPr="00363F41" w:rsidRDefault="00707081" w:rsidP="00707081">
      <w:pPr>
        <w:autoSpaceDE w:val="0"/>
        <w:autoSpaceDN w:val="0"/>
        <w:adjustRightInd w:val="0"/>
        <w:jc w:val="both"/>
        <w:rPr>
          <w:rFonts w:ascii="Verdana" w:hAnsi="Verdana" w:cs="Arial Narrow"/>
          <w:color w:val="4C4E5D"/>
        </w:rPr>
      </w:pPr>
      <w:r w:rsidRPr="00363F41">
        <w:rPr>
          <w:rFonts w:ascii="Verdana" w:hAnsi="Verdana" w:cs="Arial Narrow"/>
          <w:color w:val="4C4E5D"/>
        </w:rPr>
        <w:t>Il est rappelé</w:t>
      </w:r>
      <w:r w:rsidR="00D221E3">
        <w:rPr>
          <w:rFonts w:ascii="Verdana" w:hAnsi="Verdana" w:cs="Arial Narrow"/>
          <w:color w:val="4C4E5D"/>
        </w:rPr>
        <w:t xml:space="preserve"> qu’un rapport financier semestriel a été diffusé le 5 septembre 2014 et</w:t>
      </w:r>
      <w:r w:rsidRPr="00363F41">
        <w:rPr>
          <w:rFonts w:ascii="Verdana" w:hAnsi="Verdana" w:cs="Arial Narrow"/>
          <w:color w:val="4C4E5D"/>
        </w:rPr>
        <w:t xml:space="preserve"> qu’un document de référen</w:t>
      </w:r>
      <w:r w:rsidR="009A18EB">
        <w:rPr>
          <w:rFonts w:ascii="Verdana" w:hAnsi="Verdana" w:cs="Arial Narrow"/>
          <w:color w:val="4C4E5D"/>
        </w:rPr>
        <w:t>ce a été déposé le 30 avril 2014</w:t>
      </w:r>
      <w:r w:rsidRPr="00363F41">
        <w:rPr>
          <w:rFonts w:ascii="Verdana" w:hAnsi="Verdana" w:cs="Arial Narrow"/>
          <w:color w:val="4C4E5D"/>
        </w:rPr>
        <w:t xml:space="preserve"> aup</w:t>
      </w:r>
      <w:r w:rsidR="009A18EB">
        <w:rPr>
          <w:rFonts w:ascii="Verdana" w:hAnsi="Verdana" w:cs="Arial Narrow"/>
          <w:color w:val="4C4E5D"/>
        </w:rPr>
        <w:t>r</w:t>
      </w:r>
      <w:r w:rsidR="0016137B">
        <w:rPr>
          <w:rFonts w:ascii="Verdana" w:hAnsi="Verdana" w:cs="Arial Narrow"/>
          <w:color w:val="4C4E5D"/>
        </w:rPr>
        <w:t>ès de l’AMF sous le numéro D.14</w:t>
      </w:r>
      <w:r w:rsidR="0016137B">
        <w:rPr>
          <w:rFonts w:ascii="Verdana" w:hAnsi="Verdana" w:cs="Arial Narrow"/>
          <w:color w:val="4C4E5D"/>
        </w:rPr>
        <w:noBreakHyphen/>
      </w:r>
      <w:r w:rsidR="009A18EB">
        <w:rPr>
          <w:rFonts w:ascii="Verdana" w:hAnsi="Verdana" w:cs="Arial Narrow"/>
          <w:color w:val="4C4E5D"/>
        </w:rPr>
        <w:t>0470</w:t>
      </w:r>
      <w:r w:rsidRPr="00363F41">
        <w:rPr>
          <w:rFonts w:ascii="Verdana" w:hAnsi="Verdana" w:cs="Arial Narrow"/>
          <w:color w:val="4C4E5D"/>
        </w:rPr>
        <w:t xml:space="preserve">, contenant notamment les principaux facteurs de risques auxquels la société est exposée. </w:t>
      </w:r>
    </w:p>
    <w:p w14:paraId="504DD4EC" w14:textId="77777777" w:rsidR="00D229BE" w:rsidRPr="008C5FED" w:rsidRDefault="00D229BE" w:rsidP="00D229BE">
      <w:pPr>
        <w:shd w:val="clear" w:color="auto" w:fill="FFFFFF"/>
        <w:jc w:val="both"/>
        <w:rPr>
          <w:rFonts w:ascii="Arial" w:hAnsi="Arial" w:cs="Arial"/>
          <w:b/>
          <w:color w:val="222222"/>
          <w:sz w:val="24"/>
          <w:szCs w:val="24"/>
        </w:rPr>
      </w:pPr>
    </w:p>
    <w:tbl>
      <w:tblPr>
        <w:tblW w:w="0" w:type="auto"/>
        <w:tblBorders>
          <w:top w:val="single" w:sz="4" w:space="0" w:color="4C4E5D"/>
          <w:left w:val="single" w:sz="4" w:space="0" w:color="4C4E5D"/>
          <w:bottom w:val="single" w:sz="4" w:space="0" w:color="4C4E5D"/>
          <w:right w:val="single" w:sz="4" w:space="0" w:color="4C4E5D"/>
          <w:insideH w:val="single" w:sz="4" w:space="0" w:color="4C4E5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229BE" w:rsidRPr="007F4462" w14:paraId="518492AE" w14:textId="77777777" w:rsidTr="00C93255">
        <w:tc>
          <w:tcPr>
            <w:tcW w:w="9778" w:type="dxa"/>
          </w:tcPr>
          <w:p w14:paraId="54EE356E" w14:textId="77777777" w:rsidR="00D229BE" w:rsidRPr="007F4462" w:rsidRDefault="00D229BE" w:rsidP="00C93255">
            <w:pPr>
              <w:pStyle w:val="Corpsdetexte"/>
              <w:jc w:val="center"/>
              <w:rPr>
                <w:rFonts w:ascii="Arial" w:hAnsi="Arial" w:cs="Arial"/>
                <w:b/>
                <w:bCs/>
                <w:color w:val="4C4E5D"/>
                <w:sz w:val="20"/>
              </w:rPr>
            </w:pPr>
            <w:r w:rsidRPr="007F4462">
              <w:rPr>
                <w:rFonts w:ascii="Arial" w:hAnsi="Arial" w:cs="Arial"/>
                <w:b/>
                <w:bCs/>
                <w:color w:val="4C4E5D"/>
                <w:sz w:val="20"/>
              </w:rPr>
              <w:t xml:space="preserve">Euronext Paris Compartiment C – Code ISIN FR0000066680 – Mnémonique </w:t>
            </w:r>
            <w:r>
              <w:rPr>
                <w:rFonts w:ascii="Arial" w:hAnsi="Arial" w:cs="Arial"/>
                <w:b/>
                <w:bCs/>
                <w:color w:val="4C4E5D"/>
                <w:sz w:val="20"/>
              </w:rPr>
              <w:t>VDLO</w:t>
            </w:r>
          </w:p>
        </w:tc>
      </w:tr>
      <w:tr w:rsidR="00D229BE" w:rsidRPr="007F4462" w14:paraId="0D168CD9" w14:textId="77777777" w:rsidTr="00C93255">
        <w:tc>
          <w:tcPr>
            <w:tcW w:w="9778" w:type="dxa"/>
            <w:shd w:val="clear" w:color="auto" w:fill="D51366"/>
          </w:tcPr>
          <w:p w14:paraId="65FBEF41" w14:textId="1EE259C5" w:rsidR="00D229BE" w:rsidRPr="007F4462" w:rsidRDefault="003F13FD" w:rsidP="00C93255">
            <w:pPr>
              <w:pStyle w:val="Corpsdetexte"/>
              <w:spacing w:before="120" w:after="120"/>
              <w:jc w:val="center"/>
              <w:rPr>
                <w:rFonts w:ascii="Arial Black" w:hAnsi="Arial Black" w:cs="Arial"/>
                <w:bCs/>
                <w:color w:val="FFFFFF"/>
                <w:sz w:val="32"/>
              </w:rPr>
            </w:pPr>
            <w:hyperlink r:id="rId9" w:history="1">
              <w:r w:rsidR="00A75111" w:rsidRPr="00A62AFC">
                <w:rPr>
                  <w:rStyle w:val="Lienhypertexte"/>
                  <w:rFonts w:ascii="Arial Black" w:hAnsi="Arial Black" w:cs="Arial"/>
                  <w:bCs/>
                  <w:sz w:val="32"/>
                </w:rPr>
                <w:t>www.videlio.com</w:t>
              </w:r>
            </w:hyperlink>
          </w:p>
        </w:tc>
      </w:tr>
    </w:tbl>
    <w:p w14:paraId="35261A74" w14:textId="77777777" w:rsidR="00360FB6" w:rsidRPr="00ED41CE" w:rsidRDefault="00360FB6" w:rsidP="00D229BE">
      <w:pPr>
        <w:pStyle w:val="Corpsdetexte"/>
        <w:rPr>
          <w:rFonts w:ascii="Verdana" w:hAnsi="Verdana"/>
          <w:sz w:val="20"/>
        </w:rPr>
      </w:pPr>
    </w:p>
    <w:sectPr w:rsidR="00360FB6" w:rsidRPr="00ED41CE" w:rsidSect="00ED41CE">
      <w:headerReference w:type="default" r:id="rId10"/>
      <w:footerReference w:type="default" r:id="rId11"/>
      <w:pgSz w:w="11906" w:h="16838" w:code="9"/>
      <w:pgMar w:top="2835" w:right="1134" w:bottom="1418" w:left="1134" w:header="181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0CFBB8" w15:done="0"/>
  <w15:commentEx w15:paraId="3237BCF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9CD0A" w14:textId="77777777" w:rsidR="003F13FD" w:rsidRDefault="003F13FD">
      <w:r>
        <w:separator/>
      </w:r>
    </w:p>
  </w:endnote>
  <w:endnote w:type="continuationSeparator" w:id="0">
    <w:p w14:paraId="1EF94F2A" w14:textId="77777777" w:rsidR="003F13FD" w:rsidRDefault="003F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EFA45" w14:textId="77777777" w:rsidR="00C93255" w:rsidRDefault="00F605B4" w:rsidP="00211FB5">
    <w:pPr>
      <w:pStyle w:val="Pieddepage"/>
      <w:tabs>
        <w:tab w:val="clear" w:pos="4536"/>
        <w:tab w:val="clear" w:pos="9072"/>
        <w:tab w:val="center" w:pos="4820"/>
        <w:tab w:val="right" w:pos="9639"/>
      </w:tabs>
      <w:jc w:val="center"/>
      <w:rPr>
        <w:spacing w:val="6"/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65F831" wp14:editId="09EF59D4">
              <wp:simplePos x="0" y="0"/>
              <wp:positionH relativeFrom="column">
                <wp:posOffset>650875</wp:posOffset>
              </wp:positionH>
              <wp:positionV relativeFrom="paragraph">
                <wp:posOffset>-86360</wp:posOffset>
              </wp:positionV>
              <wp:extent cx="5229225" cy="438150"/>
              <wp:effectExtent l="0" t="0" r="0" b="0"/>
              <wp:wrapSquare wrapText="bothSides"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92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5CE51" w14:textId="77777777" w:rsidR="0065294C" w:rsidRPr="00D229BE" w:rsidRDefault="0057620D">
                          <w:pPr>
                            <w:pStyle w:val="Pieddepage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4C4E5D"/>
                              <w:spacing w:val="6"/>
                              <w:sz w:val="12"/>
                            </w:rPr>
                          </w:pPr>
                          <w:r w:rsidRPr="00D229BE">
                            <w:rPr>
                              <w:rFonts w:ascii="Arial" w:hAnsi="Arial" w:cs="Arial"/>
                              <w:b/>
                              <w:color w:val="4C4E5D"/>
                              <w:spacing w:val="6"/>
                              <w:sz w:val="12"/>
                            </w:rPr>
                            <w:t xml:space="preserve">VIDELIO - </w:t>
                          </w:r>
                          <w:r w:rsidR="0065294C" w:rsidRPr="00D229BE">
                            <w:rPr>
                              <w:rFonts w:ascii="Arial" w:hAnsi="Arial" w:cs="Arial"/>
                              <w:b/>
                              <w:color w:val="4C4E5D"/>
                              <w:spacing w:val="6"/>
                              <w:sz w:val="12"/>
                            </w:rPr>
                            <w:t xml:space="preserve">13/15 rue Louis </w:t>
                          </w:r>
                          <w:proofErr w:type="spellStart"/>
                          <w:r w:rsidR="0065294C" w:rsidRPr="00D229BE">
                            <w:rPr>
                              <w:rFonts w:ascii="Arial" w:hAnsi="Arial" w:cs="Arial"/>
                              <w:b/>
                              <w:color w:val="4C4E5D"/>
                              <w:spacing w:val="6"/>
                              <w:sz w:val="12"/>
                            </w:rPr>
                            <w:t>Kérautret</w:t>
                          </w:r>
                          <w:proofErr w:type="spellEnd"/>
                          <w:r w:rsidR="0065294C" w:rsidRPr="00D229BE">
                            <w:rPr>
                              <w:rFonts w:ascii="Arial" w:hAnsi="Arial" w:cs="Arial"/>
                              <w:b/>
                              <w:color w:val="4C4E5D"/>
                              <w:spacing w:val="6"/>
                              <w:sz w:val="12"/>
                            </w:rPr>
                            <w:t xml:space="preserve"> </w:t>
                          </w:r>
                          <w:proofErr w:type="spellStart"/>
                          <w:r w:rsidR="0065294C" w:rsidRPr="00D229BE">
                            <w:rPr>
                              <w:rFonts w:ascii="Arial" w:hAnsi="Arial" w:cs="Arial"/>
                              <w:b/>
                              <w:color w:val="4C4E5D"/>
                              <w:spacing w:val="6"/>
                              <w:sz w:val="12"/>
                            </w:rPr>
                            <w:t>Botmel</w:t>
                          </w:r>
                          <w:proofErr w:type="spellEnd"/>
                          <w:r w:rsidR="0065294C" w:rsidRPr="00D229BE">
                            <w:rPr>
                              <w:rFonts w:ascii="Arial" w:hAnsi="Arial" w:cs="Arial"/>
                              <w:b/>
                              <w:color w:val="4C4E5D"/>
                              <w:spacing w:val="6"/>
                              <w:sz w:val="12"/>
                            </w:rPr>
                            <w:t xml:space="preserve"> - CS 76709 - 35067 Rennes Cedex - Tél. : 02 23 35 57 57 - Fax : 02 23 35 56 61</w:t>
                          </w:r>
                        </w:p>
                        <w:p w14:paraId="7CD8CB05" w14:textId="77777777" w:rsidR="0065294C" w:rsidRPr="00D229BE" w:rsidRDefault="0065294C">
                          <w:pPr>
                            <w:spacing w:line="360" w:lineRule="auto"/>
                            <w:jc w:val="center"/>
                            <w:rPr>
                              <w:b/>
                              <w:color w:val="4C4E5D"/>
                              <w:sz w:val="11"/>
                            </w:rPr>
                          </w:pPr>
                          <w:r w:rsidRPr="00D229BE">
                            <w:rPr>
                              <w:rFonts w:ascii="Arial" w:hAnsi="Arial" w:cs="Arial"/>
                              <w:b/>
                              <w:color w:val="4C4E5D"/>
                              <w:spacing w:val="6"/>
                              <w:sz w:val="11"/>
                            </w:rPr>
                            <w:t xml:space="preserve">SA au capital de </w:t>
                          </w:r>
                          <w:r w:rsidR="009D7311" w:rsidRPr="00D229BE">
                            <w:rPr>
                              <w:rFonts w:ascii="Arial" w:hAnsi="Arial" w:cs="Arial"/>
                              <w:b/>
                              <w:color w:val="4C4E5D"/>
                              <w:spacing w:val="6"/>
                              <w:sz w:val="11"/>
                            </w:rPr>
                            <w:t xml:space="preserve">7 </w:t>
                          </w:r>
                          <w:r w:rsidR="00DA6109" w:rsidRPr="00D229BE">
                            <w:rPr>
                              <w:rFonts w:ascii="Arial" w:hAnsi="Arial" w:cs="Arial"/>
                              <w:b/>
                              <w:color w:val="4C4E5D"/>
                              <w:spacing w:val="6"/>
                              <w:sz w:val="11"/>
                            </w:rPr>
                            <w:t xml:space="preserve">762 745,10 </w:t>
                          </w:r>
                          <w:r w:rsidRPr="00D229BE">
                            <w:rPr>
                              <w:rFonts w:ascii="Arial" w:hAnsi="Arial" w:cs="Arial"/>
                              <w:b/>
                              <w:color w:val="4C4E5D"/>
                              <w:spacing w:val="6"/>
                              <w:sz w:val="11"/>
                            </w:rPr>
                            <w:t>euros - RCS Rennes B 382 574 739 - APE 671C - N° TVA FR 53 382 574 739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365F83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51.25pt;margin-top:-6.8pt;width:411.7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OWtw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" filled="f" stroked="f">
              <v:textbox>
                <w:txbxContent>
                  <w:p w14:paraId="3E55CE51" w14:textId="77777777" w:rsidR="0065294C" w:rsidRPr="00D229BE" w:rsidRDefault="0057620D">
                    <w:pPr>
                      <w:pStyle w:val="Pieddepage"/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color w:val="4C4E5D"/>
                        <w:spacing w:val="6"/>
                        <w:sz w:val="12"/>
                      </w:rPr>
                    </w:pPr>
                    <w:r w:rsidRPr="00D229BE">
                      <w:rPr>
                        <w:rFonts w:ascii="Arial" w:hAnsi="Arial" w:cs="Arial"/>
                        <w:b/>
                        <w:color w:val="4C4E5D"/>
                        <w:spacing w:val="6"/>
                        <w:sz w:val="12"/>
                      </w:rPr>
                      <w:t xml:space="preserve">VIDELIO - </w:t>
                    </w:r>
                    <w:r w:rsidR="0065294C" w:rsidRPr="00D229BE">
                      <w:rPr>
                        <w:rFonts w:ascii="Arial" w:hAnsi="Arial" w:cs="Arial"/>
                        <w:b/>
                        <w:color w:val="4C4E5D"/>
                        <w:spacing w:val="6"/>
                        <w:sz w:val="12"/>
                      </w:rPr>
                      <w:t xml:space="preserve">13/15 rue Louis </w:t>
                    </w:r>
                    <w:proofErr w:type="spellStart"/>
                    <w:r w:rsidR="0065294C" w:rsidRPr="00D229BE">
                      <w:rPr>
                        <w:rFonts w:ascii="Arial" w:hAnsi="Arial" w:cs="Arial"/>
                        <w:b/>
                        <w:color w:val="4C4E5D"/>
                        <w:spacing w:val="6"/>
                        <w:sz w:val="12"/>
                      </w:rPr>
                      <w:t>Kérautret</w:t>
                    </w:r>
                    <w:proofErr w:type="spellEnd"/>
                    <w:r w:rsidR="0065294C" w:rsidRPr="00D229BE">
                      <w:rPr>
                        <w:rFonts w:ascii="Arial" w:hAnsi="Arial" w:cs="Arial"/>
                        <w:b/>
                        <w:color w:val="4C4E5D"/>
                        <w:spacing w:val="6"/>
                        <w:sz w:val="12"/>
                      </w:rPr>
                      <w:t xml:space="preserve"> </w:t>
                    </w:r>
                    <w:proofErr w:type="spellStart"/>
                    <w:r w:rsidR="0065294C" w:rsidRPr="00D229BE">
                      <w:rPr>
                        <w:rFonts w:ascii="Arial" w:hAnsi="Arial" w:cs="Arial"/>
                        <w:b/>
                        <w:color w:val="4C4E5D"/>
                        <w:spacing w:val="6"/>
                        <w:sz w:val="12"/>
                      </w:rPr>
                      <w:t>Botmel</w:t>
                    </w:r>
                    <w:proofErr w:type="spellEnd"/>
                    <w:r w:rsidR="0065294C" w:rsidRPr="00D229BE">
                      <w:rPr>
                        <w:rFonts w:ascii="Arial" w:hAnsi="Arial" w:cs="Arial"/>
                        <w:b/>
                        <w:color w:val="4C4E5D"/>
                        <w:spacing w:val="6"/>
                        <w:sz w:val="12"/>
                      </w:rPr>
                      <w:t xml:space="preserve"> - CS 76709 - 35067 Rennes Cedex - Tél. : 02 23 35 57 57 - Fax : 02 23 35 56 61</w:t>
                    </w:r>
                  </w:p>
                  <w:p w14:paraId="7CD8CB05" w14:textId="77777777" w:rsidR="0065294C" w:rsidRPr="00D229BE" w:rsidRDefault="0065294C">
                    <w:pPr>
                      <w:spacing w:line="360" w:lineRule="auto"/>
                      <w:jc w:val="center"/>
                      <w:rPr>
                        <w:b/>
                        <w:color w:val="4C4E5D"/>
                        <w:sz w:val="11"/>
                      </w:rPr>
                    </w:pPr>
                    <w:r w:rsidRPr="00D229BE">
                      <w:rPr>
                        <w:rFonts w:ascii="Arial" w:hAnsi="Arial" w:cs="Arial"/>
                        <w:b/>
                        <w:color w:val="4C4E5D"/>
                        <w:spacing w:val="6"/>
                        <w:sz w:val="11"/>
                      </w:rPr>
                      <w:t xml:space="preserve">SA au capital de </w:t>
                    </w:r>
                    <w:r w:rsidR="009D7311" w:rsidRPr="00D229BE">
                      <w:rPr>
                        <w:rFonts w:ascii="Arial" w:hAnsi="Arial" w:cs="Arial"/>
                        <w:b/>
                        <w:color w:val="4C4E5D"/>
                        <w:spacing w:val="6"/>
                        <w:sz w:val="11"/>
                      </w:rPr>
                      <w:t xml:space="preserve">7 </w:t>
                    </w:r>
                    <w:r w:rsidR="00DA6109" w:rsidRPr="00D229BE">
                      <w:rPr>
                        <w:rFonts w:ascii="Arial" w:hAnsi="Arial" w:cs="Arial"/>
                        <w:b/>
                        <w:color w:val="4C4E5D"/>
                        <w:spacing w:val="6"/>
                        <w:sz w:val="11"/>
                      </w:rPr>
                      <w:t xml:space="preserve">762 745,10 </w:t>
                    </w:r>
                    <w:r w:rsidRPr="00D229BE">
                      <w:rPr>
                        <w:rFonts w:ascii="Arial" w:hAnsi="Arial" w:cs="Arial"/>
                        <w:b/>
                        <w:color w:val="4C4E5D"/>
                        <w:spacing w:val="6"/>
                        <w:sz w:val="11"/>
                      </w:rPr>
                      <w:t>euros - RCS Rennes B 382 574 739 - APE 671C - N° TVA FR 53 382 574 739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76D42" w14:textId="77777777" w:rsidR="003F13FD" w:rsidRDefault="003F13FD">
      <w:r>
        <w:separator/>
      </w:r>
    </w:p>
  </w:footnote>
  <w:footnote w:type="continuationSeparator" w:id="0">
    <w:p w14:paraId="389C0E8C" w14:textId="77777777" w:rsidR="003F13FD" w:rsidRDefault="003F1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842C8" w14:textId="77777777" w:rsidR="00C93255" w:rsidRDefault="00C93255">
    <w:pPr>
      <w:pStyle w:val="En-tte"/>
      <w:jc w:val="center"/>
    </w:pPr>
  </w:p>
  <w:p w14:paraId="2C36E72C" w14:textId="77777777" w:rsidR="00C93255" w:rsidRDefault="00C93255">
    <w:pPr>
      <w:pStyle w:val="En-tte"/>
      <w:ind w:left="-1417" w:firstLine="1417"/>
      <w:jc w:val="center"/>
    </w:pPr>
  </w:p>
  <w:p w14:paraId="514F47C5" w14:textId="77777777" w:rsidR="00C93255" w:rsidRDefault="00C93255" w:rsidP="0057620D">
    <w:pPr>
      <w:pStyle w:val="En-tte"/>
      <w:tabs>
        <w:tab w:val="clear" w:pos="4536"/>
        <w:tab w:val="center" w:pos="9072"/>
      </w:tabs>
      <w:jc w:val="center"/>
    </w:pPr>
    <w:r>
      <w:rPr>
        <w:rFonts w:cs="Calibri"/>
        <w:noProof/>
        <w:sz w:val="36"/>
        <w:szCs w:val="36"/>
      </w:rPr>
      <w:drawing>
        <wp:inline distT="0" distB="0" distL="0" distR="0" wp14:anchorId="1E2A67A3" wp14:editId="5BD69D86">
          <wp:extent cx="2164876" cy="1028700"/>
          <wp:effectExtent l="19050" t="0" r="6824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876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450E9"/>
    <w:multiLevelType w:val="hybridMultilevel"/>
    <w:tmpl w:val="ED824C7E"/>
    <w:lvl w:ilvl="0" w:tplc="66A05F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FC1AAF"/>
    <w:multiLevelType w:val="hybridMultilevel"/>
    <w:tmpl w:val="47864E14"/>
    <w:lvl w:ilvl="0" w:tplc="FADEBF0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9B095A"/>
    <w:multiLevelType w:val="hybridMultilevel"/>
    <w:tmpl w:val="04A68E8E"/>
    <w:lvl w:ilvl="0" w:tplc="9DD8DC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83499"/>
    <w:multiLevelType w:val="hybridMultilevel"/>
    <w:tmpl w:val="3654A35E"/>
    <w:lvl w:ilvl="0" w:tplc="040C0001">
      <w:start w:val="1"/>
      <w:numFmt w:val="bullet"/>
      <w:lvlText w:val=""/>
      <w:lvlJc w:val="left"/>
      <w:pPr>
        <w:tabs>
          <w:tab w:val="num" w:pos="2342"/>
        </w:tabs>
        <w:ind w:left="23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2"/>
        </w:tabs>
        <w:ind w:left="30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2"/>
        </w:tabs>
        <w:ind w:left="37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2"/>
        </w:tabs>
        <w:ind w:left="45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2"/>
        </w:tabs>
        <w:ind w:left="52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2"/>
        </w:tabs>
        <w:ind w:left="59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2"/>
        </w:tabs>
        <w:ind w:left="66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2"/>
        </w:tabs>
        <w:ind w:left="73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2"/>
        </w:tabs>
        <w:ind w:left="8102" w:hanging="360"/>
      </w:pPr>
      <w:rPr>
        <w:rFonts w:ascii="Wingdings" w:hAnsi="Wingdings" w:hint="default"/>
      </w:rPr>
    </w:lvl>
  </w:abstractNum>
  <w:abstractNum w:abstractNumId="4">
    <w:nsid w:val="3C152DF2"/>
    <w:multiLevelType w:val="hybridMultilevel"/>
    <w:tmpl w:val="9EE0A306"/>
    <w:lvl w:ilvl="0" w:tplc="040C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0D21DD"/>
    <w:multiLevelType w:val="hybridMultilevel"/>
    <w:tmpl w:val="65863162"/>
    <w:lvl w:ilvl="0" w:tplc="16A4D6B4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8B0FC5"/>
    <w:multiLevelType w:val="hybridMultilevel"/>
    <w:tmpl w:val="D86A03BC"/>
    <w:lvl w:ilvl="0" w:tplc="040C0001">
      <w:start w:val="1"/>
      <w:numFmt w:val="bullet"/>
      <w:lvlText w:val=""/>
      <w:lvlJc w:val="left"/>
      <w:pPr>
        <w:tabs>
          <w:tab w:val="num" w:pos="2342"/>
        </w:tabs>
        <w:ind w:left="23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2"/>
        </w:tabs>
        <w:ind w:left="30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2"/>
        </w:tabs>
        <w:ind w:left="37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2"/>
        </w:tabs>
        <w:ind w:left="45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2"/>
        </w:tabs>
        <w:ind w:left="52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2"/>
        </w:tabs>
        <w:ind w:left="59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2"/>
        </w:tabs>
        <w:ind w:left="66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2"/>
        </w:tabs>
        <w:ind w:left="73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2"/>
        </w:tabs>
        <w:ind w:left="8102" w:hanging="360"/>
      </w:pPr>
      <w:rPr>
        <w:rFonts w:ascii="Wingdings" w:hAnsi="Wingdings" w:hint="default"/>
      </w:rPr>
    </w:lvl>
  </w:abstractNum>
  <w:abstractNum w:abstractNumId="7">
    <w:nsid w:val="655714CA"/>
    <w:multiLevelType w:val="hybridMultilevel"/>
    <w:tmpl w:val="5A829424"/>
    <w:lvl w:ilvl="0" w:tplc="0FB638C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99461E"/>
    <w:multiLevelType w:val="hybridMultilevel"/>
    <w:tmpl w:val="E70E99CC"/>
    <w:lvl w:ilvl="0" w:tplc="04384DEC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zanne GLOAGUEN">
    <w15:presenceInfo w15:providerId="AD" w15:userId="S-1-5-21-3145969019-2349854804-617371160-1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F5"/>
    <w:rsid w:val="00001B17"/>
    <w:rsid w:val="00010282"/>
    <w:rsid w:val="00016F9F"/>
    <w:rsid w:val="00021D4C"/>
    <w:rsid w:val="000A03E5"/>
    <w:rsid w:val="000B1260"/>
    <w:rsid w:val="000B6B7F"/>
    <w:rsid w:val="00132B73"/>
    <w:rsid w:val="00145A3B"/>
    <w:rsid w:val="0015292C"/>
    <w:rsid w:val="0016137B"/>
    <w:rsid w:val="00184F95"/>
    <w:rsid w:val="0018673C"/>
    <w:rsid w:val="001B2D9A"/>
    <w:rsid w:val="001C536C"/>
    <w:rsid w:val="001C79F5"/>
    <w:rsid w:val="002071BD"/>
    <w:rsid w:val="00211FB5"/>
    <w:rsid w:val="00213B46"/>
    <w:rsid w:val="00221265"/>
    <w:rsid w:val="00226F86"/>
    <w:rsid w:val="002604E2"/>
    <w:rsid w:val="00284EB7"/>
    <w:rsid w:val="002B7105"/>
    <w:rsid w:val="002D268E"/>
    <w:rsid w:val="002F6986"/>
    <w:rsid w:val="003152E0"/>
    <w:rsid w:val="00360FB6"/>
    <w:rsid w:val="00363F41"/>
    <w:rsid w:val="00375685"/>
    <w:rsid w:val="00380BC1"/>
    <w:rsid w:val="00383AA9"/>
    <w:rsid w:val="00385A94"/>
    <w:rsid w:val="00390FBF"/>
    <w:rsid w:val="00393E79"/>
    <w:rsid w:val="00395DCA"/>
    <w:rsid w:val="003B56C0"/>
    <w:rsid w:val="003C1456"/>
    <w:rsid w:val="003E20AF"/>
    <w:rsid w:val="003E55FC"/>
    <w:rsid w:val="003F0A51"/>
    <w:rsid w:val="003F13FD"/>
    <w:rsid w:val="00411778"/>
    <w:rsid w:val="00417719"/>
    <w:rsid w:val="004270DB"/>
    <w:rsid w:val="004325ED"/>
    <w:rsid w:val="00444E1B"/>
    <w:rsid w:val="0044616C"/>
    <w:rsid w:val="004553F3"/>
    <w:rsid w:val="00472A48"/>
    <w:rsid w:val="00474A78"/>
    <w:rsid w:val="004A0F9B"/>
    <w:rsid w:val="004B60EC"/>
    <w:rsid w:val="0057620D"/>
    <w:rsid w:val="00583F9A"/>
    <w:rsid w:val="00587691"/>
    <w:rsid w:val="005A38BE"/>
    <w:rsid w:val="005C546D"/>
    <w:rsid w:val="005F58AD"/>
    <w:rsid w:val="00616CFC"/>
    <w:rsid w:val="006450F5"/>
    <w:rsid w:val="0065294C"/>
    <w:rsid w:val="00662CF7"/>
    <w:rsid w:val="006B4BB1"/>
    <w:rsid w:val="006F6ADD"/>
    <w:rsid w:val="00707081"/>
    <w:rsid w:val="00717402"/>
    <w:rsid w:val="007906CC"/>
    <w:rsid w:val="00792A87"/>
    <w:rsid w:val="007B35B6"/>
    <w:rsid w:val="007C0317"/>
    <w:rsid w:val="007C5393"/>
    <w:rsid w:val="007E79C6"/>
    <w:rsid w:val="007F31ED"/>
    <w:rsid w:val="00835BB4"/>
    <w:rsid w:val="00865BDC"/>
    <w:rsid w:val="008A14EA"/>
    <w:rsid w:val="008E6584"/>
    <w:rsid w:val="008F4726"/>
    <w:rsid w:val="009107BF"/>
    <w:rsid w:val="00965853"/>
    <w:rsid w:val="009938AB"/>
    <w:rsid w:val="009A18EB"/>
    <w:rsid w:val="009D7311"/>
    <w:rsid w:val="00A03D7B"/>
    <w:rsid w:val="00A110A3"/>
    <w:rsid w:val="00A13A98"/>
    <w:rsid w:val="00A24860"/>
    <w:rsid w:val="00A5389E"/>
    <w:rsid w:val="00A546F6"/>
    <w:rsid w:val="00A75111"/>
    <w:rsid w:val="00A76940"/>
    <w:rsid w:val="00AB6D09"/>
    <w:rsid w:val="00AD0ED5"/>
    <w:rsid w:val="00AE41E6"/>
    <w:rsid w:val="00AE4C34"/>
    <w:rsid w:val="00B33944"/>
    <w:rsid w:val="00B46515"/>
    <w:rsid w:val="00B60660"/>
    <w:rsid w:val="00B61B9C"/>
    <w:rsid w:val="00BC1243"/>
    <w:rsid w:val="00BE1CC9"/>
    <w:rsid w:val="00C05CA5"/>
    <w:rsid w:val="00C17550"/>
    <w:rsid w:val="00C21469"/>
    <w:rsid w:val="00C32951"/>
    <w:rsid w:val="00C35F36"/>
    <w:rsid w:val="00C61765"/>
    <w:rsid w:val="00C64C6B"/>
    <w:rsid w:val="00C8205B"/>
    <w:rsid w:val="00C93255"/>
    <w:rsid w:val="00C97896"/>
    <w:rsid w:val="00CA286E"/>
    <w:rsid w:val="00CA5FC4"/>
    <w:rsid w:val="00CB0C29"/>
    <w:rsid w:val="00CC0676"/>
    <w:rsid w:val="00CD5C16"/>
    <w:rsid w:val="00CE24B7"/>
    <w:rsid w:val="00CE6175"/>
    <w:rsid w:val="00CF4B6C"/>
    <w:rsid w:val="00D04FC4"/>
    <w:rsid w:val="00D1113F"/>
    <w:rsid w:val="00D221E3"/>
    <w:rsid w:val="00D229BE"/>
    <w:rsid w:val="00D419CE"/>
    <w:rsid w:val="00D55FE9"/>
    <w:rsid w:val="00D56F04"/>
    <w:rsid w:val="00D651E8"/>
    <w:rsid w:val="00D75474"/>
    <w:rsid w:val="00D76666"/>
    <w:rsid w:val="00DA2190"/>
    <w:rsid w:val="00DA6109"/>
    <w:rsid w:val="00DA72DA"/>
    <w:rsid w:val="00E1078A"/>
    <w:rsid w:val="00E14880"/>
    <w:rsid w:val="00E3568D"/>
    <w:rsid w:val="00E7520A"/>
    <w:rsid w:val="00E76A36"/>
    <w:rsid w:val="00E8635D"/>
    <w:rsid w:val="00E92C32"/>
    <w:rsid w:val="00E931DF"/>
    <w:rsid w:val="00EC6810"/>
    <w:rsid w:val="00ED3455"/>
    <w:rsid w:val="00ED41CE"/>
    <w:rsid w:val="00EF1971"/>
    <w:rsid w:val="00F06B2D"/>
    <w:rsid w:val="00F605B4"/>
    <w:rsid w:val="00F805E1"/>
    <w:rsid w:val="00F92413"/>
    <w:rsid w:val="00FA5B82"/>
    <w:rsid w:val="00FC2D2C"/>
    <w:rsid w:val="00FD0780"/>
    <w:rsid w:val="00FD36D3"/>
    <w:rsid w:val="00FE356C"/>
    <w:rsid w:val="00FE3ACE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BC9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1D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semiHidden/>
    <w:pPr>
      <w:jc w:val="both"/>
    </w:pPr>
    <w:rPr>
      <w:sz w:val="24"/>
      <w:lang w:val="x-none" w:eastAsia="x-none"/>
    </w:rPr>
  </w:style>
  <w:style w:type="paragraph" w:customStyle="1" w:styleId="WW-Corpsdetexte2">
    <w:name w:val="WW-Corps de texte 2"/>
    <w:basedOn w:val="Normal"/>
    <w:pPr>
      <w:suppressAutoHyphens/>
      <w:autoSpaceDE w:val="0"/>
      <w:spacing w:line="240" w:lineRule="atLeast"/>
      <w:jc w:val="both"/>
    </w:pPr>
    <w:rPr>
      <w:rFonts w:ascii="Garamond" w:hAnsi="Garamond" w:cs="Arial"/>
      <w:color w:val="000000"/>
      <w:sz w:val="24"/>
      <w:lang w:eastAsia="ar-SA"/>
    </w:rPr>
  </w:style>
  <w:style w:type="paragraph" w:styleId="Notedebasdepage">
    <w:name w:val="footnote text"/>
    <w:basedOn w:val="Normal"/>
    <w:semiHidden/>
    <w:pPr>
      <w:suppressAutoHyphens/>
    </w:pPr>
    <w:rPr>
      <w:lang w:eastAsia="ar-SA"/>
    </w:rPr>
  </w:style>
  <w:style w:type="character" w:customStyle="1" w:styleId="Titre2Car">
    <w:name w:val="Titre 2 Car"/>
    <w:link w:val="Titre2"/>
    <w:uiPriority w:val="9"/>
    <w:semiHidden/>
    <w:rsid w:val="00021D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Lienhypertexte">
    <w:name w:val="Hyperlink"/>
    <w:semiHidden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1867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rpsdetexteCar">
    <w:name w:val="Corps de texte Car"/>
    <w:link w:val="Corpsdetexte"/>
    <w:semiHidden/>
    <w:rsid w:val="00360FB6"/>
    <w:rPr>
      <w:sz w:val="24"/>
    </w:rPr>
  </w:style>
  <w:style w:type="paragraph" w:styleId="Normalcentr">
    <w:name w:val="Block Text"/>
    <w:basedOn w:val="Normal"/>
    <w:rsid w:val="00616CFC"/>
    <w:pPr>
      <w:ind w:left="57" w:right="57"/>
      <w:jc w:val="both"/>
    </w:pPr>
    <w:rPr>
      <w:rFonts w:ascii="Arial Narrow" w:hAnsi="Arial Narrow"/>
      <w:sz w:val="16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2F69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6986"/>
  </w:style>
  <w:style w:type="character" w:customStyle="1" w:styleId="CommentaireCar">
    <w:name w:val="Commentaire Car"/>
    <w:basedOn w:val="Policepardfaut"/>
    <w:link w:val="Commentaire"/>
    <w:uiPriority w:val="99"/>
    <w:semiHidden/>
    <w:rsid w:val="002F698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69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6986"/>
    <w:rPr>
      <w:b/>
      <w:bCs/>
    </w:rPr>
  </w:style>
  <w:style w:type="paragraph" w:styleId="Paragraphedeliste">
    <w:name w:val="List Paragraph"/>
    <w:basedOn w:val="Normal"/>
    <w:uiPriority w:val="34"/>
    <w:qFormat/>
    <w:rsid w:val="00D651E8"/>
    <w:pPr>
      <w:ind w:left="720"/>
      <w:contextualSpacing/>
    </w:pPr>
  </w:style>
  <w:style w:type="paragraph" w:customStyle="1" w:styleId="Formatlibre">
    <w:name w:val="Format libre"/>
    <w:rsid w:val="00DA2190"/>
    <w:rPr>
      <w:rFonts w:ascii="Helvetica" w:eastAsia="ヒラギノ角ゴ Pro W3" w:hAnsi="Helvetic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1D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semiHidden/>
    <w:pPr>
      <w:jc w:val="both"/>
    </w:pPr>
    <w:rPr>
      <w:sz w:val="24"/>
      <w:lang w:val="x-none" w:eastAsia="x-none"/>
    </w:rPr>
  </w:style>
  <w:style w:type="paragraph" w:customStyle="1" w:styleId="WW-Corpsdetexte2">
    <w:name w:val="WW-Corps de texte 2"/>
    <w:basedOn w:val="Normal"/>
    <w:pPr>
      <w:suppressAutoHyphens/>
      <w:autoSpaceDE w:val="0"/>
      <w:spacing w:line="240" w:lineRule="atLeast"/>
      <w:jc w:val="both"/>
    </w:pPr>
    <w:rPr>
      <w:rFonts w:ascii="Garamond" w:hAnsi="Garamond" w:cs="Arial"/>
      <w:color w:val="000000"/>
      <w:sz w:val="24"/>
      <w:lang w:eastAsia="ar-SA"/>
    </w:rPr>
  </w:style>
  <w:style w:type="paragraph" w:styleId="Notedebasdepage">
    <w:name w:val="footnote text"/>
    <w:basedOn w:val="Normal"/>
    <w:semiHidden/>
    <w:pPr>
      <w:suppressAutoHyphens/>
    </w:pPr>
    <w:rPr>
      <w:lang w:eastAsia="ar-SA"/>
    </w:rPr>
  </w:style>
  <w:style w:type="character" w:customStyle="1" w:styleId="Titre2Car">
    <w:name w:val="Titre 2 Car"/>
    <w:link w:val="Titre2"/>
    <w:uiPriority w:val="9"/>
    <w:semiHidden/>
    <w:rsid w:val="00021D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Lienhypertexte">
    <w:name w:val="Hyperlink"/>
    <w:semiHidden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1867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rpsdetexteCar">
    <w:name w:val="Corps de texte Car"/>
    <w:link w:val="Corpsdetexte"/>
    <w:semiHidden/>
    <w:rsid w:val="00360FB6"/>
    <w:rPr>
      <w:sz w:val="24"/>
    </w:rPr>
  </w:style>
  <w:style w:type="paragraph" w:styleId="Normalcentr">
    <w:name w:val="Block Text"/>
    <w:basedOn w:val="Normal"/>
    <w:rsid w:val="00616CFC"/>
    <w:pPr>
      <w:ind w:left="57" w:right="57"/>
      <w:jc w:val="both"/>
    </w:pPr>
    <w:rPr>
      <w:rFonts w:ascii="Arial Narrow" w:hAnsi="Arial Narrow"/>
      <w:sz w:val="16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2F69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6986"/>
  </w:style>
  <w:style w:type="character" w:customStyle="1" w:styleId="CommentaireCar">
    <w:name w:val="Commentaire Car"/>
    <w:basedOn w:val="Policepardfaut"/>
    <w:link w:val="Commentaire"/>
    <w:uiPriority w:val="99"/>
    <w:semiHidden/>
    <w:rsid w:val="002F698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69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6986"/>
    <w:rPr>
      <w:b/>
      <w:bCs/>
    </w:rPr>
  </w:style>
  <w:style w:type="paragraph" w:styleId="Paragraphedeliste">
    <w:name w:val="List Paragraph"/>
    <w:basedOn w:val="Normal"/>
    <w:uiPriority w:val="34"/>
    <w:qFormat/>
    <w:rsid w:val="00D651E8"/>
    <w:pPr>
      <w:ind w:left="720"/>
      <w:contextualSpacing/>
    </w:pPr>
  </w:style>
  <w:style w:type="paragraph" w:customStyle="1" w:styleId="Formatlibre">
    <w:name w:val="Format libre"/>
    <w:rsid w:val="00DA2190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idelio.com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AGIAIRE1\Local%20Settings\Temporary%20Internet%20Files\OLK6\IEC%20PM%20mod&#232;l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D9F12-F570-465E-BEFB-41509D59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 PM modèle lettre.dot</Template>
  <TotalTime>0</TotalTime>
  <Pages>2</Pages>
  <Words>596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Mesdames et Messieurs les Actionnaires</vt:lpstr>
      <vt:lpstr>Mesdames et Messieurs les Actionnaires</vt:lpstr>
    </vt:vector>
  </TitlesOfParts>
  <Company>NEOCLES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Mesdames et Messieurs les Actionnaires</dc:title>
  <dc:creator>STAGIAIRE1</dc:creator>
  <cp:lastModifiedBy>Carole THERY</cp:lastModifiedBy>
  <cp:revision>2</cp:revision>
  <cp:lastPrinted>2014-02-28T09:26:00Z</cp:lastPrinted>
  <dcterms:created xsi:type="dcterms:W3CDTF">2014-11-14T23:32:00Z</dcterms:created>
  <dcterms:modified xsi:type="dcterms:W3CDTF">2014-11-14T23:32:00Z</dcterms:modified>
</cp:coreProperties>
</file>